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2"/>
          <w:szCs w:val="22"/>
        </w:rPr>
        <w:id w:val="2063213420"/>
        <w:docPartObj>
          <w:docPartGallery w:val="Table of Contents"/>
          <w:docPartUnique/>
        </w:docPartObj>
      </w:sdtPr>
      <w:sdtEndPr>
        <w:rPr>
          <w:b/>
          <w:bCs/>
          <w:noProof/>
        </w:rPr>
      </w:sdtEndPr>
      <w:sdtContent>
        <w:p w14:paraId="77E2D0B6" w14:textId="50A66C0B" w:rsidR="008A6C4B" w:rsidRDefault="00EF3660">
          <w:pPr>
            <w:pStyle w:val="TOCHeading"/>
          </w:pPr>
          <w:r>
            <w:t>Table of C</w:t>
          </w:r>
          <w:r w:rsidR="008A6C4B">
            <w:t>ontents</w:t>
          </w:r>
        </w:p>
        <w:p w14:paraId="67534041" w14:textId="26F8A730" w:rsidR="00A47EE1" w:rsidRDefault="008A6C4B">
          <w:pPr>
            <w:pStyle w:val="TOC2"/>
            <w:rPr>
              <w:rFonts w:cstheme="minorBidi"/>
              <w:noProof/>
              <w:kern w:val="2"/>
              <w:sz w:val="24"/>
              <w:szCs w:val="24"/>
              <w14:ligatures w14:val="standardContextual"/>
            </w:rPr>
          </w:pPr>
          <w:r>
            <w:fldChar w:fldCharType="begin"/>
          </w:r>
          <w:r>
            <w:instrText xml:space="preserve"> TOC \o "1-3" \h \z \u </w:instrText>
          </w:r>
          <w:r>
            <w:fldChar w:fldCharType="separate"/>
          </w:r>
          <w:hyperlink w:anchor="_Toc161329383" w:history="1">
            <w:r w:rsidR="00A47EE1" w:rsidRPr="008732AC">
              <w:rPr>
                <w:rStyle w:val="Hyperlink"/>
                <w:noProof/>
              </w:rPr>
              <w:t>General:</w:t>
            </w:r>
            <w:r w:rsidR="00A47EE1">
              <w:rPr>
                <w:noProof/>
                <w:webHidden/>
              </w:rPr>
              <w:tab/>
            </w:r>
            <w:r w:rsidR="00A47EE1">
              <w:rPr>
                <w:noProof/>
                <w:webHidden/>
              </w:rPr>
              <w:fldChar w:fldCharType="begin"/>
            </w:r>
            <w:r w:rsidR="00A47EE1">
              <w:rPr>
                <w:noProof/>
                <w:webHidden/>
              </w:rPr>
              <w:instrText xml:space="preserve"> PAGEREF _Toc161329383 \h </w:instrText>
            </w:r>
            <w:r w:rsidR="00A47EE1">
              <w:rPr>
                <w:noProof/>
                <w:webHidden/>
              </w:rPr>
            </w:r>
            <w:r w:rsidR="00A47EE1">
              <w:rPr>
                <w:noProof/>
                <w:webHidden/>
              </w:rPr>
              <w:fldChar w:fldCharType="separate"/>
            </w:r>
            <w:r w:rsidR="00A47EE1">
              <w:rPr>
                <w:noProof/>
                <w:webHidden/>
              </w:rPr>
              <w:t>1</w:t>
            </w:r>
            <w:r w:rsidR="00A47EE1">
              <w:rPr>
                <w:noProof/>
                <w:webHidden/>
              </w:rPr>
              <w:fldChar w:fldCharType="end"/>
            </w:r>
          </w:hyperlink>
        </w:p>
        <w:p w14:paraId="7FD4E875" w14:textId="38FC239E" w:rsidR="00A47EE1" w:rsidRDefault="00A47EE1">
          <w:pPr>
            <w:pStyle w:val="TOC2"/>
            <w:rPr>
              <w:rFonts w:cstheme="minorBidi"/>
              <w:noProof/>
              <w:kern w:val="2"/>
              <w:sz w:val="24"/>
              <w:szCs w:val="24"/>
              <w14:ligatures w14:val="standardContextual"/>
            </w:rPr>
          </w:pPr>
          <w:hyperlink w:anchor="_Toc161329384" w:history="1">
            <w:r w:rsidRPr="008732AC">
              <w:rPr>
                <w:rStyle w:val="Hyperlink"/>
                <w:noProof/>
              </w:rPr>
              <w:t>Orders and Order Acceptance</w:t>
            </w:r>
            <w:r>
              <w:rPr>
                <w:noProof/>
                <w:webHidden/>
              </w:rPr>
              <w:tab/>
            </w:r>
            <w:r>
              <w:rPr>
                <w:noProof/>
                <w:webHidden/>
              </w:rPr>
              <w:fldChar w:fldCharType="begin"/>
            </w:r>
            <w:r>
              <w:rPr>
                <w:noProof/>
                <w:webHidden/>
              </w:rPr>
              <w:instrText xml:space="preserve"> PAGEREF _Toc161329384 \h </w:instrText>
            </w:r>
            <w:r>
              <w:rPr>
                <w:noProof/>
                <w:webHidden/>
              </w:rPr>
            </w:r>
            <w:r>
              <w:rPr>
                <w:noProof/>
                <w:webHidden/>
              </w:rPr>
              <w:fldChar w:fldCharType="separate"/>
            </w:r>
            <w:r>
              <w:rPr>
                <w:noProof/>
                <w:webHidden/>
              </w:rPr>
              <w:t>1</w:t>
            </w:r>
            <w:r>
              <w:rPr>
                <w:noProof/>
                <w:webHidden/>
              </w:rPr>
              <w:fldChar w:fldCharType="end"/>
            </w:r>
          </w:hyperlink>
        </w:p>
        <w:p w14:paraId="25E6D175" w14:textId="3E4B64B6" w:rsidR="00A47EE1" w:rsidRDefault="00A47EE1">
          <w:pPr>
            <w:pStyle w:val="TOC2"/>
            <w:rPr>
              <w:rFonts w:cstheme="minorBidi"/>
              <w:noProof/>
              <w:kern w:val="2"/>
              <w:sz w:val="24"/>
              <w:szCs w:val="24"/>
              <w14:ligatures w14:val="standardContextual"/>
            </w:rPr>
          </w:pPr>
          <w:hyperlink w:anchor="_Toc161329385" w:history="1">
            <w:r w:rsidRPr="008732AC">
              <w:rPr>
                <w:rStyle w:val="Hyperlink"/>
                <w:noProof/>
              </w:rPr>
              <w:t>Payment Terms</w:t>
            </w:r>
            <w:r>
              <w:rPr>
                <w:noProof/>
                <w:webHidden/>
              </w:rPr>
              <w:tab/>
            </w:r>
            <w:r>
              <w:rPr>
                <w:noProof/>
                <w:webHidden/>
              </w:rPr>
              <w:fldChar w:fldCharType="begin"/>
            </w:r>
            <w:r>
              <w:rPr>
                <w:noProof/>
                <w:webHidden/>
              </w:rPr>
              <w:instrText xml:space="preserve"> PAGEREF _Toc161329385 \h </w:instrText>
            </w:r>
            <w:r>
              <w:rPr>
                <w:noProof/>
                <w:webHidden/>
              </w:rPr>
            </w:r>
            <w:r>
              <w:rPr>
                <w:noProof/>
                <w:webHidden/>
              </w:rPr>
              <w:fldChar w:fldCharType="separate"/>
            </w:r>
            <w:r>
              <w:rPr>
                <w:noProof/>
                <w:webHidden/>
              </w:rPr>
              <w:t>2</w:t>
            </w:r>
            <w:r>
              <w:rPr>
                <w:noProof/>
                <w:webHidden/>
              </w:rPr>
              <w:fldChar w:fldCharType="end"/>
            </w:r>
          </w:hyperlink>
        </w:p>
        <w:p w14:paraId="22FE4036" w14:textId="4CF768F4" w:rsidR="00A47EE1" w:rsidRDefault="00A47EE1">
          <w:pPr>
            <w:pStyle w:val="TOC2"/>
            <w:rPr>
              <w:rFonts w:cstheme="minorBidi"/>
              <w:noProof/>
              <w:kern w:val="2"/>
              <w:sz w:val="24"/>
              <w:szCs w:val="24"/>
              <w14:ligatures w14:val="standardContextual"/>
            </w:rPr>
          </w:pPr>
          <w:hyperlink w:anchor="_Toc161329386" w:history="1">
            <w:r w:rsidRPr="008732AC">
              <w:rPr>
                <w:rStyle w:val="Hyperlink"/>
                <w:noProof/>
              </w:rPr>
              <w:t>Packing and Shipping</w:t>
            </w:r>
            <w:r>
              <w:rPr>
                <w:noProof/>
                <w:webHidden/>
              </w:rPr>
              <w:tab/>
            </w:r>
            <w:r>
              <w:rPr>
                <w:noProof/>
                <w:webHidden/>
              </w:rPr>
              <w:fldChar w:fldCharType="begin"/>
            </w:r>
            <w:r>
              <w:rPr>
                <w:noProof/>
                <w:webHidden/>
              </w:rPr>
              <w:instrText xml:space="preserve"> PAGEREF _Toc161329386 \h </w:instrText>
            </w:r>
            <w:r>
              <w:rPr>
                <w:noProof/>
                <w:webHidden/>
              </w:rPr>
            </w:r>
            <w:r>
              <w:rPr>
                <w:noProof/>
                <w:webHidden/>
              </w:rPr>
              <w:fldChar w:fldCharType="separate"/>
            </w:r>
            <w:r>
              <w:rPr>
                <w:noProof/>
                <w:webHidden/>
              </w:rPr>
              <w:t>2</w:t>
            </w:r>
            <w:r>
              <w:rPr>
                <w:noProof/>
                <w:webHidden/>
              </w:rPr>
              <w:fldChar w:fldCharType="end"/>
            </w:r>
          </w:hyperlink>
        </w:p>
        <w:p w14:paraId="0EF20EC5" w14:textId="13875801" w:rsidR="00A47EE1" w:rsidRDefault="00A47EE1">
          <w:pPr>
            <w:pStyle w:val="TOC2"/>
            <w:rPr>
              <w:rFonts w:cstheme="minorBidi"/>
              <w:noProof/>
              <w:kern w:val="2"/>
              <w:sz w:val="24"/>
              <w:szCs w:val="24"/>
              <w14:ligatures w14:val="standardContextual"/>
            </w:rPr>
          </w:pPr>
          <w:hyperlink w:anchor="_Toc161329387" w:history="1">
            <w:r w:rsidRPr="008732AC">
              <w:rPr>
                <w:rStyle w:val="Hyperlink"/>
                <w:noProof/>
              </w:rPr>
              <w:t>Shipping Tolerance</w:t>
            </w:r>
            <w:r>
              <w:rPr>
                <w:noProof/>
                <w:webHidden/>
              </w:rPr>
              <w:tab/>
            </w:r>
            <w:r>
              <w:rPr>
                <w:noProof/>
                <w:webHidden/>
              </w:rPr>
              <w:fldChar w:fldCharType="begin"/>
            </w:r>
            <w:r>
              <w:rPr>
                <w:noProof/>
                <w:webHidden/>
              </w:rPr>
              <w:instrText xml:space="preserve"> PAGEREF _Toc161329387 \h </w:instrText>
            </w:r>
            <w:r>
              <w:rPr>
                <w:noProof/>
                <w:webHidden/>
              </w:rPr>
            </w:r>
            <w:r>
              <w:rPr>
                <w:noProof/>
                <w:webHidden/>
              </w:rPr>
              <w:fldChar w:fldCharType="separate"/>
            </w:r>
            <w:r>
              <w:rPr>
                <w:noProof/>
                <w:webHidden/>
              </w:rPr>
              <w:t>2</w:t>
            </w:r>
            <w:r>
              <w:rPr>
                <w:noProof/>
                <w:webHidden/>
              </w:rPr>
              <w:fldChar w:fldCharType="end"/>
            </w:r>
          </w:hyperlink>
        </w:p>
        <w:p w14:paraId="772D430D" w14:textId="65B65CAD" w:rsidR="00A47EE1" w:rsidRDefault="00A47EE1">
          <w:pPr>
            <w:pStyle w:val="TOC2"/>
            <w:rPr>
              <w:rFonts w:cstheme="minorBidi"/>
              <w:noProof/>
              <w:kern w:val="2"/>
              <w:sz w:val="24"/>
              <w:szCs w:val="24"/>
              <w14:ligatures w14:val="standardContextual"/>
            </w:rPr>
          </w:pPr>
          <w:hyperlink w:anchor="_Toc161329388" w:history="1">
            <w:r w:rsidRPr="008732AC">
              <w:rPr>
                <w:rStyle w:val="Hyperlink"/>
                <w:noProof/>
              </w:rPr>
              <w:t>Conflict Minerals</w:t>
            </w:r>
            <w:r>
              <w:rPr>
                <w:noProof/>
                <w:webHidden/>
              </w:rPr>
              <w:tab/>
            </w:r>
            <w:r>
              <w:rPr>
                <w:noProof/>
                <w:webHidden/>
              </w:rPr>
              <w:fldChar w:fldCharType="begin"/>
            </w:r>
            <w:r>
              <w:rPr>
                <w:noProof/>
                <w:webHidden/>
              </w:rPr>
              <w:instrText xml:space="preserve"> PAGEREF _Toc161329388 \h </w:instrText>
            </w:r>
            <w:r>
              <w:rPr>
                <w:noProof/>
                <w:webHidden/>
              </w:rPr>
            </w:r>
            <w:r>
              <w:rPr>
                <w:noProof/>
                <w:webHidden/>
              </w:rPr>
              <w:fldChar w:fldCharType="separate"/>
            </w:r>
            <w:r>
              <w:rPr>
                <w:noProof/>
                <w:webHidden/>
              </w:rPr>
              <w:t>2</w:t>
            </w:r>
            <w:r>
              <w:rPr>
                <w:noProof/>
                <w:webHidden/>
              </w:rPr>
              <w:fldChar w:fldCharType="end"/>
            </w:r>
          </w:hyperlink>
        </w:p>
        <w:p w14:paraId="1E723F5D" w14:textId="55056E41" w:rsidR="00A47EE1" w:rsidRDefault="00A47EE1">
          <w:pPr>
            <w:pStyle w:val="TOC2"/>
            <w:rPr>
              <w:rFonts w:cstheme="minorBidi"/>
              <w:noProof/>
              <w:kern w:val="2"/>
              <w:sz w:val="24"/>
              <w:szCs w:val="24"/>
              <w14:ligatures w14:val="standardContextual"/>
            </w:rPr>
          </w:pPr>
          <w:hyperlink w:anchor="_Toc161329389" w:history="1">
            <w:r w:rsidRPr="008732AC">
              <w:rPr>
                <w:rStyle w:val="Hyperlink"/>
                <w:noProof/>
              </w:rPr>
              <w:t>Material Declarations, REACH and RoHS</w:t>
            </w:r>
            <w:r>
              <w:rPr>
                <w:noProof/>
                <w:webHidden/>
              </w:rPr>
              <w:tab/>
            </w:r>
            <w:r>
              <w:rPr>
                <w:noProof/>
                <w:webHidden/>
              </w:rPr>
              <w:fldChar w:fldCharType="begin"/>
            </w:r>
            <w:r>
              <w:rPr>
                <w:noProof/>
                <w:webHidden/>
              </w:rPr>
              <w:instrText xml:space="preserve"> PAGEREF _Toc161329389 \h </w:instrText>
            </w:r>
            <w:r>
              <w:rPr>
                <w:noProof/>
                <w:webHidden/>
              </w:rPr>
            </w:r>
            <w:r>
              <w:rPr>
                <w:noProof/>
                <w:webHidden/>
              </w:rPr>
              <w:fldChar w:fldCharType="separate"/>
            </w:r>
            <w:r>
              <w:rPr>
                <w:noProof/>
                <w:webHidden/>
              </w:rPr>
              <w:t>2</w:t>
            </w:r>
            <w:r>
              <w:rPr>
                <w:noProof/>
                <w:webHidden/>
              </w:rPr>
              <w:fldChar w:fldCharType="end"/>
            </w:r>
          </w:hyperlink>
        </w:p>
        <w:p w14:paraId="1FF58D28" w14:textId="400F15DA" w:rsidR="00A47EE1" w:rsidRDefault="00A47EE1">
          <w:pPr>
            <w:pStyle w:val="TOC2"/>
            <w:rPr>
              <w:rFonts w:cstheme="minorBidi"/>
              <w:noProof/>
              <w:kern w:val="2"/>
              <w:sz w:val="24"/>
              <w:szCs w:val="24"/>
              <w14:ligatures w14:val="standardContextual"/>
            </w:rPr>
          </w:pPr>
          <w:hyperlink w:anchor="_Toc161329390" w:history="1">
            <w:r w:rsidRPr="008732AC">
              <w:rPr>
                <w:rStyle w:val="Hyperlink"/>
                <w:noProof/>
              </w:rPr>
              <w:t>Mercury and Mercury compounds</w:t>
            </w:r>
            <w:r>
              <w:rPr>
                <w:noProof/>
                <w:webHidden/>
              </w:rPr>
              <w:tab/>
            </w:r>
            <w:r>
              <w:rPr>
                <w:noProof/>
                <w:webHidden/>
              </w:rPr>
              <w:fldChar w:fldCharType="begin"/>
            </w:r>
            <w:r>
              <w:rPr>
                <w:noProof/>
                <w:webHidden/>
              </w:rPr>
              <w:instrText xml:space="preserve"> PAGEREF _Toc161329390 \h </w:instrText>
            </w:r>
            <w:r>
              <w:rPr>
                <w:noProof/>
                <w:webHidden/>
              </w:rPr>
            </w:r>
            <w:r>
              <w:rPr>
                <w:noProof/>
                <w:webHidden/>
              </w:rPr>
              <w:fldChar w:fldCharType="separate"/>
            </w:r>
            <w:r>
              <w:rPr>
                <w:noProof/>
                <w:webHidden/>
              </w:rPr>
              <w:t>2</w:t>
            </w:r>
            <w:r>
              <w:rPr>
                <w:noProof/>
                <w:webHidden/>
              </w:rPr>
              <w:fldChar w:fldCharType="end"/>
            </w:r>
          </w:hyperlink>
        </w:p>
        <w:p w14:paraId="2A34FE1E" w14:textId="5F578A56" w:rsidR="00A47EE1" w:rsidRDefault="00A47EE1">
          <w:pPr>
            <w:pStyle w:val="TOC2"/>
            <w:rPr>
              <w:rFonts w:cstheme="minorBidi"/>
              <w:noProof/>
              <w:kern w:val="2"/>
              <w:sz w:val="24"/>
              <w:szCs w:val="24"/>
              <w14:ligatures w14:val="standardContextual"/>
            </w:rPr>
          </w:pPr>
          <w:hyperlink w:anchor="_Toc161329391" w:history="1">
            <w:r w:rsidRPr="008732AC">
              <w:rPr>
                <w:rStyle w:val="Hyperlink"/>
                <w:noProof/>
              </w:rPr>
              <w:t>Certificate of Conformance</w:t>
            </w:r>
            <w:r>
              <w:rPr>
                <w:noProof/>
                <w:webHidden/>
              </w:rPr>
              <w:tab/>
            </w:r>
            <w:r>
              <w:rPr>
                <w:noProof/>
                <w:webHidden/>
              </w:rPr>
              <w:fldChar w:fldCharType="begin"/>
            </w:r>
            <w:r>
              <w:rPr>
                <w:noProof/>
                <w:webHidden/>
              </w:rPr>
              <w:instrText xml:space="preserve"> PAGEREF _Toc161329391 \h </w:instrText>
            </w:r>
            <w:r>
              <w:rPr>
                <w:noProof/>
                <w:webHidden/>
              </w:rPr>
            </w:r>
            <w:r>
              <w:rPr>
                <w:noProof/>
                <w:webHidden/>
              </w:rPr>
              <w:fldChar w:fldCharType="separate"/>
            </w:r>
            <w:r>
              <w:rPr>
                <w:noProof/>
                <w:webHidden/>
              </w:rPr>
              <w:t>2</w:t>
            </w:r>
            <w:r>
              <w:rPr>
                <w:noProof/>
                <w:webHidden/>
              </w:rPr>
              <w:fldChar w:fldCharType="end"/>
            </w:r>
          </w:hyperlink>
        </w:p>
        <w:p w14:paraId="4E057C6B" w14:textId="0F5DD95D" w:rsidR="00A47EE1" w:rsidRDefault="00A47EE1">
          <w:pPr>
            <w:pStyle w:val="TOC2"/>
            <w:rPr>
              <w:rFonts w:cstheme="minorBidi"/>
              <w:noProof/>
              <w:kern w:val="2"/>
              <w:sz w:val="24"/>
              <w:szCs w:val="24"/>
              <w14:ligatures w14:val="standardContextual"/>
            </w:rPr>
          </w:pPr>
          <w:hyperlink w:anchor="_Toc161329392" w:history="1">
            <w:r w:rsidRPr="008732AC">
              <w:rPr>
                <w:rStyle w:val="Hyperlink"/>
                <w:noProof/>
              </w:rPr>
              <w:t>Age Control</w:t>
            </w:r>
            <w:r>
              <w:rPr>
                <w:noProof/>
                <w:webHidden/>
              </w:rPr>
              <w:tab/>
            </w:r>
            <w:r>
              <w:rPr>
                <w:noProof/>
                <w:webHidden/>
              </w:rPr>
              <w:fldChar w:fldCharType="begin"/>
            </w:r>
            <w:r>
              <w:rPr>
                <w:noProof/>
                <w:webHidden/>
              </w:rPr>
              <w:instrText xml:space="preserve"> PAGEREF _Toc161329392 \h </w:instrText>
            </w:r>
            <w:r>
              <w:rPr>
                <w:noProof/>
                <w:webHidden/>
              </w:rPr>
            </w:r>
            <w:r>
              <w:rPr>
                <w:noProof/>
                <w:webHidden/>
              </w:rPr>
              <w:fldChar w:fldCharType="separate"/>
            </w:r>
            <w:r>
              <w:rPr>
                <w:noProof/>
                <w:webHidden/>
              </w:rPr>
              <w:t>3</w:t>
            </w:r>
            <w:r>
              <w:rPr>
                <w:noProof/>
                <w:webHidden/>
              </w:rPr>
              <w:fldChar w:fldCharType="end"/>
            </w:r>
          </w:hyperlink>
        </w:p>
        <w:p w14:paraId="43830590" w14:textId="4A392F59" w:rsidR="00A47EE1" w:rsidRDefault="00A47EE1">
          <w:pPr>
            <w:pStyle w:val="TOC2"/>
            <w:rPr>
              <w:rFonts w:cstheme="minorBidi"/>
              <w:noProof/>
              <w:kern w:val="2"/>
              <w:sz w:val="24"/>
              <w:szCs w:val="24"/>
              <w14:ligatures w14:val="standardContextual"/>
            </w:rPr>
          </w:pPr>
          <w:hyperlink w:anchor="_Toc161329393" w:history="1">
            <w:r w:rsidRPr="008732AC">
              <w:rPr>
                <w:rStyle w:val="Hyperlink"/>
                <w:noProof/>
              </w:rPr>
              <w:t>Inspection and Testing and Retention of Records</w:t>
            </w:r>
            <w:r>
              <w:rPr>
                <w:noProof/>
                <w:webHidden/>
              </w:rPr>
              <w:tab/>
            </w:r>
            <w:r>
              <w:rPr>
                <w:noProof/>
                <w:webHidden/>
              </w:rPr>
              <w:fldChar w:fldCharType="begin"/>
            </w:r>
            <w:r>
              <w:rPr>
                <w:noProof/>
                <w:webHidden/>
              </w:rPr>
              <w:instrText xml:space="preserve"> PAGEREF _Toc161329393 \h </w:instrText>
            </w:r>
            <w:r>
              <w:rPr>
                <w:noProof/>
                <w:webHidden/>
              </w:rPr>
            </w:r>
            <w:r>
              <w:rPr>
                <w:noProof/>
                <w:webHidden/>
              </w:rPr>
              <w:fldChar w:fldCharType="separate"/>
            </w:r>
            <w:r>
              <w:rPr>
                <w:noProof/>
                <w:webHidden/>
              </w:rPr>
              <w:t>3</w:t>
            </w:r>
            <w:r>
              <w:rPr>
                <w:noProof/>
                <w:webHidden/>
              </w:rPr>
              <w:fldChar w:fldCharType="end"/>
            </w:r>
          </w:hyperlink>
        </w:p>
        <w:p w14:paraId="14794659" w14:textId="069AF3C3" w:rsidR="00A47EE1" w:rsidRDefault="00A47EE1">
          <w:pPr>
            <w:pStyle w:val="TOC2"/>
            <w:rPr>
              <w:rFonts w:cstheme="minorBidi"/>
              <w:noProof/>
              <w:kern w:val="2"/>
              <w:sz w:val="24"/>
              <w:szCs w:val="24"/>
              <w14:ligatures w14:val="standardContextual"/>
            </w:rPr>
          </w:pPr>
          <w:hyperlink w:anchor="_Toc161329394" w:history="1">
            <w:r w:rsidRPr="008732AC">
              <w:rPr>
                <w:rStyle w:val="Hyperlink"/>
                <w:noProof/>
              </w:rPr>
              <w:t>Insurance</w:t>
            </w:r>
            <w:r>
              <w:rPr>
                <w:noProof/>
                <w:webHidden/>
              </w:rPr>
              <w:tab/>
            </w:r>
            <w:r>
              <w:rPr>
                <w:noProof/>
                <w:webHidden/>
              </w:rPr>
              <w:fldChar w:fldCharType="begin"/>
            </w:r>
            <w:r>
              <w:rPr>
                <w:noProof/>
                <w:webHidden/>
              </w:rPr>
              <w:instrText xml:space="preserve"> PAGEREF _Toc161329394 \h </w:instrText>
            </w:r>
            <w:r>
              <w:rPr>
                <w:noProof/>
                <w:webHidden/>
              </w:rPr>
            </w:r>
            <w:r>
              <w:rPr>
                <w:noProof/>
                <w:webHidden/>
              </w:rPr>
              <w:fldChar w:fldCharType="separate"/>
            </w:r>
            <w:r>
              <w:rPr>
                <w:noProof/>
                <w:webHidden/>
              </w:rPr>
              <w:t>3</w:t>
            </w:r>
            <w:r>
              <w:rPr>
                <w:noProof/>
                <w:webHidden/>
              </w:rPr>
              <w:fldChar w:fldCharType="end"/>
            </w:r>
          </w:hyperlink>
        </w:p>
        <w:p w14:paraId="0B8C806E" w14:textId="2E27DA0F" w:rsidR="00A47EE1" w:rsidRDefault="00A47EE1">
          <w:pPr>
            <w:pStyle w:val="TOC2"/>
            <w:rPr>
              <w:rFonts w:cstheme="minorBidi"/>
              <w:noProof/>
              <w:kern w:val="2"/>
              <w:sz w:val="24"/>
              <w:szCs w:val="24"/>
              <w14:ligatures w14:val="standardContextual"/>
            </w:rPr>
          </w:pPr>
          <w:hyperlink w:anchor="_Toc161329395" w:history="1">
            <w:r w:rsidRPr="008732AC">
              <w:rPr>
                <w:rStyle w:val="Hyperlink"/>
                <w:noProof/>
              </w:rPr>
              <w:t>HAZMAT</w:t>
            </w:r>
            <w:r>
              <w:rPr>
                <w:noProof/>
                <w:webHidden/>
              </w:rPr>
              <w:tab/>
            </w:r>
            <w:r>
              <w:rPr>
                <w:noProof/>
                <w:webHidden/>
              </w:rPr>
              <w:fldChar w:fldCharType="begin"/>
            </w:r>
            <w:r>
              <w:rPr>
                <w:noProof/>
                <w:webHidden/>
              </w:rPr>
              <w:instrText xml:space="preserve"> PAGEREF _Toc161329395 \h </w:instrText>
            </w:r>
            <w:r>
              <w:rPr>
                <w:noProof/>
                <w:webHidden/>
              </w:rPr>
            </w:r>
            <w:r>
              <w:rPr>
                <w:noProof/>
                <w:webHidden/>
              </w:rPr>
              <w:fldChar w:fldCharType="separate"/>
            </w:r>
            <w:r>
              <w:rPr>
                <w:noProof/>
                <w:webHidden/>
              </w:rPr>
              <w:t>3</w:t>
            </w:r>
            <w:r>
              <w:rPr>
                <w:noProof/>
                <w:webHidden/>
              </w:rPr>
              <w:fldChar w:fldCharType="end"/>
            </w:r>
          </w:hyperlink>
        </w:p>
        <w:p w14:paraId="2827A300" w14:textId="38164924" w:rsidR="00A47EE1" w:rsidRDefault="00A47EE1">
          <w:pPr>
            <w:pStyle w:val="TOC2"/>
            <w:rPr>
              <w:rFonts w:cstheme="minorBidi"/>
              <w:noProof/>
              <w:kern w:val="2"/>
              <w:sz w:val="24"/>
              <w:szCs w:val="24"/>
              <w14:ligatures w14:val="standardContextual"/>
            </w:rPr>
          </w:pPr>
          <w:hyperlink w:anchor="_Toc161329396" w:history="1">
            <w:r w:rsidRPr="008732AC">
              <w:rPr>
                <w:rStyle w:val="Hyperlink"/>
                <w:noProof/>
              </w:rPr>
              <w:t>Non-Conforming Product</w:t>
            </w:r>
            <w:r>
              <w:rPr>
                <w:noProof/>
                <w:webHidden/>
              </w:rPr>
              <w:tab/>
            </w:r>
            <w:r>
              <w:rPr>
                <w:noProof/>
                <w:webHidden/>
              </w:rPr>
              <w:fldChar w:fldCharType="begin"/>
            </w:r>
            <w:r>
              <w:rPr>
                <w:noProof/>
                <w:webHidden/>
              </w:rPr>
              <w:instrText xml:space="preserve"> PAGEREF _Toc161329396 \h </w:instrText>
            </w:r>
            <w:r>
              <w:rPr>
                <w:noProof/>
                <w:webHidden/>
              </w:rPr>
            </w:r>
            <w:r>
              <w:rPr>
                <w:noProof/>
                <w:webHidden/>
              </w:rPr>
              <w:fldChar w:fldCharType="separate"/>
            </w:r>
            <w:r>
              <w:rPr>
                <w:noProof/>
                <w:webHidden/>
              </w:rPr>
              <w:t>3</w:t>
            </w:r>
            <w:r>
              <w:rPr>
                <w:noProof/>
                <w:webHidden/>
              </w:rPr>
              <w:fldChar w:fldCharType="end"/>
            </w:r>
          </w:hyperlink>
        </w:p>
        <w:p w14:paraId="13A502D5" w14:textId="07806FB3" w:rsidR="00A47EE1" w:rsidRDefault="00A47EE1">
          <w:pPr>
            <w:pStyle w:val="TOC2"/>
            <w:rPr>
              <w:rFonts w:cstheme="minorBidi"/>
              <w:noProof/>
              <w:kern w:val="2"/>
              <w:sz w:val="24"/>
              <w:szCs w:val="24"/>
              <w14:ligatures w14:val="standardContextual"/>
            </w:rPr>
          </w:pPr>
          <w:hyperlink w:anchor="_Toc161329397" w:history="1">
            <w:r w:rsidRPr="008732AC">
              <w:rPr>
                <w:rStyle w:val="Hyperlink"/>
                <w:noProof/>
              </w:rPr>
              <w:t>Warranty</w:t>
            </w:r>
            <w:r>
              <w:rPr>
                <w:noProof/>
                <w:webHidden/>
              </w:rPr>
              <w:tab/>
            </w:r>
            <w:r>
              <w:rPr>
                <w:noProof/>
                <w:webHidden/>
              </w:rPr>
              <w:fldChar w:fldCharType="begin"/>
            </w:r>
            <w:r>
              <w:rPr>
                <w:noProof/>
                <w:webHidden/>
              </w:rPr>
              <w:instrText xml:space="preserve"> PAGEREF _Toc161329397 \h </w:instrText>
            </w:r>
            <w:r>
              <w:rPr>
                <w:noProof/>
                <w:webHidden/>
              </w:rPr>
            </w:r>
            <w:r>
              <w:rPr>
                <w:noProof/>
                <w:webHidden/>
              </w:rPr>
              <w:fldChar w:fldCharType="separate"/>
            </w:r>
            <w:r>
              <w:rPr>
                <w:noProof/>
                <w:webHidden/>
              </w:rPr>
              <w:t>3</w:t>
            </w:r>
            <w:r>
              <w:rPr>
                <w:noProof/>
                <w:webHidden/>
              </w:rPr>
              <w:fldChar w:fldCharType="end"/>
            </w:r>
          </w:hyperlink>
        </w:p>
        <w:p w14:paraId="3C6A51F6" w14:textId="46500CAC" w:rsidR="00A47EE1" w:rsidRDefault="00A47EE1">
          <w:pPr>
            <w:pStyle w:val="TOC2"/>
            <w:rPr>
              <w:rFonts w:cstheme="minorBidi"/>
              <w:noProof/>
              <w:kern w:val="2"/>
              <w:sz w:val="24"/>
              <w:szCs w:val="24"/>
              <w14:ligatures w14:val="standardContextual"/>
            </w:rPr>
          </w:pPr>
          <w:hyperlink w:anchor="_Toc161329398" w:history="1">
            <w:r w:rsidRPr="008732AC">
              <w:rPr>
                <w:rStyle w:val="Hyperlink"/>
                <w:noProof/>
              </w:rPr>
              <w:t>Indemnification:</w:t>
            </w:r>
            <w:r>
              <w:rPr>
                <w:noProof/>
                <w:webHidden/>
              </w:rPr>
              <w:tab/>
            </w:r>
            <w:r>
              <w:rPr>
                <w:noProof/>
                <w:webHidden/>
              </w:rPr>
              <w:fldChar w:fldCharType="begin"/>
            </w:r>
            <w:r>
              <w:rPr>
                <w:noProof/>
                <w:webHidden/>
              </w:rPr>
              <w:instrText xml:space="preserve"> PAGEREF _Toc161329398 \h </w:instrText>
            </w:r>
            <w:r>
              <w:rPr>
                <w:noProof/>
                <w:webHidden/>
              </w:rPr>
            </w:r>
            <w:r>
              <w:rPr>
                <w:noProof/>
                <w:webHidden/>
              </w:rPr>
              <w:fldChar w:fldCharType="separate"/>
            </w:r>
            <w:r>
              <w:rPr>
                <w:noProof/>
                <w:webHidden/>
              </w:rPr>
              <w:t>4</w:t>
            </w:r>
            <w:r>
              <w:rPr>
                <w:noProof/>
                <w:webHidden/>
              </w:rPr>
              <w:fldChar w:fldCharType="end"/>
            </w:r>
          </w:hyperlink>
        </w:p>
        <w:p w14:paraId="55D72721" w14:textId="73F30A94" w:rsidR="00A47EE1" w:rsidRDefault="00A47EE1">
          <w:pPr>
            <w:pStyle w:val="TOC2"/>
            <w:rPr>
              <w:rFonts w:cstheme="minorBidi"/>
              <w:noProof/>
              <w:kern w:val="2"/>
              <w:sz w:val="24"/>
              <w:szCs w:val="24"/>
              <w14:ligatures w14:val="standardContextual"/>
            </w:rPr>
          </w:pPr>
          <w:hyperlink w:anchor="_Toc161329399" w:history="1">
            <w:r w:rsidRPr="008732AC">
              <w:rPr>
                <w:rStyle w:val="Hyperlink"/>
                <w:noProof/>
              </w:rPr>
              <w:t>Disputes</w:t>
            </w:r>
            <w:r>
              <w:rPr>
                <w:noProof/>
                <w:webHidden/>
              </w:rPr>
              <w:tab/>
            </w:r>
            <w:r>
              <w:rPr>
                <w:noProof/>
                <w:webHidden/>
              </w:rPr>
              <w:fldChar w:fldCharType="begin"/>
            </w:r>
            <w:r>
              <w:rPr>
                <w:noProof/>
                <w:webHidden/>
              </w:rPr>
              <w:instrText xml:space="preserve"> PAGEREF _Toc161329399 \h </w:instrText>
            </w:r>
            <w:r>
              <w:rPr>
                <w:noProof/>
                <w:webHidden/>
              </w:rPr>
            </w:r>
            <w:r>
              <w:rPr>
                <w:noProof/>
                <w:webHidden/>
              </w:rPr>
              <w:fldChar w:fldCharType="separate"/>
            </w:r>
            <w:r>
              <w:rPr>
                <w:noProof/>
                <w:webHidden/>
              </w:rPr>
              <w:t>4</w:t>
            </w:r>
            <w:r>
              <w:rPr>
                <w:noProof/>
                <w:webHidden/>
              </w:rPr>
              <w:fldChar w:fldCharType="end"/>
            </w:r>
          </w:hyperlink>
        </w:p>
        <w:p w14:paraId="536DDB90" w14:textId="3A04F1E2" w:rsidR="008A6C4B" w:rsidRDefault="008A6C4B">
          <w:r>
            <w:rPr>
              <w:b/>
              <w:bCs/>
              <w:noProof/>
            </w:rPr>
            <w:fldChar w:fldCharType="end"/>
          </w:r>
        </w:p>
      </w:sdtContent>
    </w:sdt>
    <w:p w14:paraId="13913156" w14:textId="5B60848E" w:rsidR="002E02F3" w:rsidRDefault="002E02F3">
      <w:pPr>
        <w:rPr>
          <w:b/>
        </w:rPr>
      </w:pPr>
    </w:p>
    <w:p w14:paraId="172C9AEB" w14:textId="77777777" w:rsidR="007911C1" w:rsidRDefault="007911C1" w:rsidP="006F25CD">
      <w:pPr>
        <w:pStyle w:val="Heading2"/>
      </w:pPr>
      <w:bookmarkStart w:id="0" w:name="_Toc161329383"/>
      <w:r>
        <w:t>General:</w:t>
      </w:r>
      <w:bookmarkEnd w:id="0"/>
    </w:p>
    <w:p w14:paraId="35B50677" w14:textId="02569C3B" w:rsidR="007911C1" w:rsidRDefault="007911C1" w:rsidP="007911C1">
      <w:pPr>
        <w:pStyle w:val="NoSpacing"/>
      </w:pPr>
      <w:r>
        <w:t xml:space="preserve">As a supplier (seller) to </w:t>
      </w:r>
      <w:r w:rsidR="0062695E">
        <w:t>Hayes</w:t>
      </w:r>
      <w:r>
        <w:t xml:space="preserve"> Bolt &amp; Supply (H</w:t>
      </w:r>
      <w:r w:rsidR="0062695E">
        <w:t>BS</w:t>
      </w:r>
      <w:r>
        <w:t xml:space="preserve">), your acceptance of any </w:t>
      </w:r>
      <w:r w:rsidR="0062695E">
        <w:t>HBS</w:t>
      </w:r>
      <w:r>
        <w:t xml:space="preserve"> Purchase Order confirms your agreement in meeting these General Terms and Conditions</w:t>
      </w:r>
      <w:r w:rsidR="006A7F02">
        <w:t xml:space="preserve"> and HBS Supplier Code of Conduct;</w:t>
      </w:r>
      <w:r>
        <w:t xml:space="preserve"> and shall supersede and replace any conflicting terms provided by Seller.</w:t>
      </w:r>
      <w:r w:rsidR="0062695E">
        <w:t xml:space="preserve"> </w:t>
      </w:r>
      <w:r>
        <w:t xml:space="preserve">You may be required to meet additional requirements or flow downs which will be noted on your Purchase Order and your acceptance of said Purchase Order (s) confirms acceptance of this agreement. Changes to any requirement in this agreement must be approved prior to shipment in writing by a member of </w:t>
      </w:r>
      <w:r w:rsidR="0062695E">
        <w:t>HBS</w:t>
      </w:r>
      <w:r>
        <w:t>’ Management Team.</w:t>
      </w:r>
    </w:p>
    <w:p w14:paraId="7CC5C889" w14:textId="77777777" w:rsidR="007911C1" w:rsidRDefault="007911C1" w:rsidP="007911C1">
      <w:pPr>
        <w:pStyle w:val="NoSpacing"/>
      </w:pPr>
    </w:p>
    <w:p w14:paraId="4AAB30A5" w14:textId="36FB85B1" w:rsidR="007911C1" w:rsidRPr="00D307D5" w:rsidRDefault="007911C1" w:rsidP="006F25CD">
      <w:pPr>
        <w:pStyle w:val="Heading2"/>
      </w:pPr>
      <w:bookmarkStart w:id="1" w:name="_Toc161329384"/>
      <w:r w:rsidRPr="00D307D5">
        <w:lastRenderedPageBreak/>
        <w:t>Orders and Order Acceptance</w:t>
      </w:r>
      <w:bookmarkEnd w:id="1"/>
    </w:p>
    <w:p w14:paraId="247613F8" w14:textId="609EB7FF" w:rsidR="007911C1" w:rsidRDefault="007911C1" w:rsidP="007911C1">
      <w:pPr>
        <w:pStyle w:val="NoSpacing"/>
      </w:pPr>
      <w:r>
        <w:t>Orders for Goods and Services shall require a Purchase Order placed by H</w:t>
      </w:r>
      <w:r w:rsidR="0062695E">
        <w:t>BS’s</w:t>
      </w:r>
      <w:r>
        <w:t xml:space="preserve"> authorized Procurement Team.  Said Purchase Order will specify pricing, quantities, delivery requirements, shipping instructions, applicable specifications and any special requirements. </w:t>
      </w:r>
      <w:r w:rsidR="0062695E">
        <w:t>HBS</w:t>
      </w:r>
      <w:r>
        <w:t xml:space="preserve"> expects its suppliers to confirm receipt of a Purchase Order within two business days. If Supplier cannot meet the expected delivery time</w:t>
      </w:r>
      <w:r w:rsidR="004D77DD">
        <w:t xml:space="preserve"> </w:t>
      </w:r>
      <w:r>
        <w:t>requirement</w:t>
      </w:r>
      <w:r w:rsidR="004D77DD">
        <w:t xml:space="preserve">, the </w:t>
      </w:r>
      <w:r>
        <w:t xml:space="preserve">Supplier must notify </w:t>
      </w:r>
      <w:r w:rsidR="0062695E">
        <w:t>HBS</w:t>
      </w:r>
      <w:r>
        <w:t xml:space="preserve"> within one business day of </w:t>
      </w:r>
      <w:r w:rsidR="00E5308A">
        <w:t>discovery of</w:t>
      </w:r>
      <w:r>
        <w:t xml:space="preserve"> this information, </w:t>
      </w:r>
      <w:r w:rsidR="0062695E">
        <w:t>HBS</w:t>
      </w:r>
      <w:r>
        <w:t xml:space="preserve"> must accept this change in writing. </w:t>
      </w:r>
      <w:r w:rsidR="0062695E">
        <w:t>HBS</w:t>
      </w:r>
      <w:r>
        <w:t xml:space="preserve"> rejects any additional service, packing or freight charges unless agreed to in writing prior to shipment.</w:t>
      </w:r>
    </w:p>
    <w:p w14:paraId="7F5E74B2" w14:textId="77777777" w:rsidR="004D77DD" w:rsidRDefault="004D77DD" w:rsidP="007911C1">
      <w:pPr>
        <w:pStyle w:val="NoSpacing"/>
      </w:pPr>
    </w:p>
    <w:p w14:paraId="60E8C564" w14:textId="77777777" w:rsidR="007911C1" w:rsidRPr="006F25CD" w:rsidRDefault="007911C1" w:rsidP="006F25CD">
      <w:pPr>
        <w:pStyle w:val="Heading2"/>
      </w:pPr>
      <w:bookmarkStart w:id="2" w:name="_Toc161329385"/>
      <w:r w:rsidRPr="006F25CD">
        <w:t>Payment Terms</w:t>
      </w:r>
      <w:bookmarkEnd w:id="2"/>
    </w:p>
    <w:p w14:paraId="5CE98549" w14:textId="4740E999" w:rsidR="007911C1" w:rsidRDefault="007911C1" w:rsidP="007911C1">
      <w:pPr>
        <w:pStyle w:val="NoSpacing"/>
      </w:pPr>
      <w:r>
        <w:t xml:space="preserve">Payment terms shall be Net </w:t>
      </w:r>
      <w:r w:rsidR="008906F6">
        <w:t>30</w:t>
      </w:r>
      <w:r>
        <w:t xml:space="preserve"> from the date of invoice with the appropriate discounts allowed unless otherwise negotiated and agreed to in writing by both parties. Should the supplier ship or deliver products without appropriate paperwork including packing slips, certifications, test reports and expiration dates if required, </w:t>
      </w:r>
      <w:r w:rsidR="0062695E">
        <w:t>HBS</w:t>
      </w:r>
      <w:r>
        <w:t xml:space="preserve"> will change the invoice date due to adjust for the time it takes to receive the appropriate documentation.</w:t>
      </w:r>
    </w:p>
    <w:p w14:paraId="582B1A28" w14:textId="77777777" w:rsidR="004D77DD" w:rsidRDefault="004D77DD" w:rsidP="007911C1">
      <w:pPr>
        <w:pStyle w:val="NoSpacing"/>
      </w:pPr>
    </w:p>
    <w:p w14:paraId="05AB3A4F" w14:textId="77777777" w:rsidR="007911C1" w:rsidRPr="006F25CD" w:rsidRDefault="007911C1" w:rsidP="006F25CD">
      <w:pPr>
        <w:pStyle w:val="Heading2"/>
      </w:pPr>
      <w:bookmarkStart w:id="3" w:name="_Toc161329386"/>
      <w:r w:rsidRPr="006F25CD">
        <w:t>Packing and Shipping</w:t>
      </w:r>
      <w:bookmarkEnd w:id="3"/>
    </w:p>
    <w:p w14:paraId="14E894AF" w14:textId="59F2F6E3" w:rsidR="007911C1" w:rsidRDefault="007911C1" w:rsidP="007911C1">
      <w:pPr>
        <w:pStyle w:val="NoSpacing"/>
      </w:pPr>
      <w:r>
        <w:t xml:space="preserve">The supplier shall ensure that the products provided are protected from damage during production, inspection, packing and shipping operations. Goods will be suitably prepared for shipment to secure the lowest transportation rates (unless </w:t>
      </w:r>
      <w:r w:rsidR="0062695E">
        <w:t>HBS</w:t>
      </w:r>
      <w:r>
        <w:t xml:space="preserve"> specifies a premium method) and comply with all carrier regulations. Supplier shall package goods to prevent damage or deterioration during shipping. Products found to be damaged upon receipt shall be subject to rejection. </w:t>
      </w:r>
    </w:p>
    <w:p w14:paraId="2EB6B411" w14:textId="77777777" w:rsidR="004D77DD" w:rsidRDefault="004D77DD" w:rsidP="007911C1">
      <w:pPr>
        <w:pStyle w:val="NoSpacing"/>
      </w:pPr>
    </w:p>
    <w:p w14:paraId="399CC8F4" w14:textId="77777777" w:rsidR="007911C1" w:rsidRPr="006F25CD" w:rsidRDefault="007911C1" w:rsidP="006F25CD">
      <w:pPr>
        <w:pStyle w:val="Heading2"/>
      </w:pPr>
      <w:bookmarkStart w:id="4" w:name="_Toc161329387"/>
      <w:r w:rsidRPr="006F25CD">
        <w:t>Shipping Tolerance</w:t>
      </w:r>
      <w:bookmarkEnd w:id="4"/>
    </w:p>
    <w:p w14:paraId="4ED60824" w14:textId="0061862C" w:rsidR="007911C1" w:rsidRDefault="007911C1" w:rsidP="007911C1">
      <w:pPr>
        <w:pStyle w:val="NoSpacing"/>
      </w:pPr>
      <w:r>
        <w:t xml:space="preserve">The quantity tolerance for all purchase orders shall be </w:t>
      </w:r>
      <w:r w:rsidR="00E5308A">
        <w:rPr>
          <w:rFonts w:cstheme="minorHAnsi"/>
        </w:rPr>
        <w:t>±</w:t>
      </w:r>
      <w:r w:rsidR="00E5308A">
        <w:t>5</w:t>
      </w:r>
      <w:r w:rsidRPr="00B6420E">
        <w:t>%</w:t>
      </w:r>
      <w:r w:rsidR="00AA174E">
        <w:t xml:space="preserve"> </w:t>
      </w:r>
      <w:r w:rsidR="006F25CD">
        <w:t>and NOT to exceed $10 USD</w:t>
      </w:r>
      <w:r w:rsidRPr="00B6420E">
        <w:t xml:space="preserve">. Any deviation from this tolerance must be approved by </w:t>
      </w:r>
      <w:r w:rsidR="0062695E">
        <w:t>HBS</w:t>
      </w:r>
      <w:r w:rsidRPr="00B6420E">
        <w:t xml:space="preserve"> prior to shipment.</w:t>
      </w:r>
    </w:p>
    <w:p w14:paraId="4B60D36F" w14:textId="77777777" w:rsidR="00A47EE1" w:rsidRDefault="00A47EE1" w:rsidP="00A47EE1">
      <w:pPr>
        <w:pStyle w:val="NoSpacing"/>
      </w:pPr>
    </w:p>
    <w:p w14:paraId="5C9C3884" w14:textId="77777777" w:rsidR="00A47EE1" w:rsidRPr="00EF57F7" w:rsidRDefault="00A47EE1" w:rsidP="00A47EE1">
      <w:pPr>
        <w:pStyle w:val="Heading2"/>
      </w:pPr>
      <w:bookmarkStart w:id="5" w:name="_Toc9586808"/>
      <w:bookmarkStart w:id="6" w:name="_Toc161329388"/>
      <w:r w:rsidRPr="00EF57F7">
        <w:t>Conflict Minerals</w:t>
      </w:r>
      <w:bookmarkEnd w:id="5"/>
      <w:bookmarkEnd w:id="6"/>
    </w:p>
    <w:p w14:paraId="70310F12" w14:textId="77777777" w:rsidR="00A47EE1" w:rsidRDefault="00A47EE1" w:rsidP="00A47EE1">
      <w:pPr>
        <w:pStyle w:val="NoSpacing"/>
      </w:pPr>
      <w:r>
        <w:t>Supplier must comply with the requirements of the Dodd Frank Act on Conflict Minerals. Should Supplier find that non-compliant material has been shipped to HBS, Supplier will notify HBS in writing within 60 days.</w:t>
      </w:r>
    </w:p>
    <w:p w14:paraId="27047778" w14:textId="77777777" w:rsidR="00A47EE1" w:rsidRDefault="00A47EE1" w:rsidP="00A47EE1">
      <w:pPr>
        <w:pStyle w:val="Heading2"/>
      </w:pPr>
      <w:r>
        <w:br/>
      </w:r>
      <w:bookmarkStart w:id="7" w:name="_Toc9245468"/>
      <w:bookmarkStart w:id="8" w:name="_Toc161329389"/>
      <w:r w:rsidRPr="00CF083D">
        <w:t>Material Declarations, REACH and RoHS</w:t>
      </w:r>
      <w:bookmarkEnd w:id="7"/>
      <w:bookmarkEnd w:id="8"/>
      <w:r w:rsidRPr="00CF083D">
        <w:t xml:space="preserve"> </w:t>
      </w:r>
    </w:p>
    <w:p w14:paraId="71680424" w14:textId="77777777" w:rsidR="00A47EE1" w:rsidRPr="00CF083D" w:rsidRDefault="00A47EE1" w:rsidP="00A47EE1">
      <w:pPr>
        <w:pStyle w:val="NoSpacing"/>
      </w:pPr>
      <w:r w:rsidRPr="00F36D29">
        <w:t>If applicable</w:t>
      </w:r>
      <w:r>
        <w:t>,</w:t>
      </w:r>
      <w:r w:rsidRPr="00F36D29">
        <w:t xml:space="preserve"> products </w:t>
      </w:r>
      <w:r>
        <w:t>shall</w:t>
      </w:r>
      <w:r w:rsidRPr="00F36D29">
        <w:t xml:space="preserve"> carry appropriate certification to RoHS and REACH</w:t>
      </w:r>
      <w:r>
        <w:t>.</w:t>
      </w:r>
    </w:p>
    <w:p w14:paraId="3E73D935" w14:textId="77777777" w:rsidR="00A47EE1" w:rsidRPr="006F25CD" w:rsidRDefault="00A47EE1" w:rsidP="00A47EE1">
      <w:pPr>
        <w:pStyle w:val="Heading2"/>
      </w:pPr>
      <w:r>
        <w:br/>
      </w:r>
      <w:bookmarkStart w:id="9" w:name="_Toc161329390"/>
      <w:r w:rsidRPr="006F25CD">
        <w:t>Mercury and Mercury compounds</w:t>
      </w:r>
      <w:bookmarkEnd w:id="9"/>
    </w:p>
    <w:p w14:paraId="7D60911B" w14:textId="77777777" w:rsidR="00A47EE1" w:rsidRDefault="00A47EE1" w:rsidP="00A47EE1">
      <w:pPr>
        <w:pStyle w:val="NoSpacing"/>
      </w:pPr>
      <w:r>
        <w:t>Supplier is responsible to ensure that product supplied have not been in contact with mercury or mercury compounds during manufacturing or subsequent processing.</w:t>
      </w:r>
    </w:p>
    <w:p w14:paraId="50E9FE7A" w14:textId="20CDCAE1" w:rsidR="00BD6B33" w:rsidRPr="00EF57F7" w:rsidRDefault="00BD6B33" w:rsidP="00BD6B33">
      <w:pPr>
        <w:pStyle w:val="Heading2"/>
      </w:pPr>
      <w:r>
        <w:lastRenderedPageBreak/>
        <w:br/>
      </w:r>
      <w:bookmarkStart w:id="10" w:name="_Toc9586800"/>
      <w:bookmarkStart w:id="11" w:name="_Toc161329391"/>
      <w:r w:rsidRPr="00EF57F7">
        <w:t>Certificate of Conformance</w:t>
      </w:r>
      <w:bookmarkEnd w:id="10"/>
      <w:bookmarkEnd w:id="11"/>
    </w:p>
    <w:p w14:paraId="3BD46CBB" w14:textId="77777777" w:rsidR="00BD6B33" w:rsidRDefault="00BD6B33" w:rsidP="00BD6B33">
      <w:pPr>
        <w:pStyle w:val="NoSpacing"/>
      </w:pPr>
      <w:r>
        <w:t>If specified on Purchase Order, supplier shall provide a certificate of conformance with each shipment, stating the product supplied meets all drawing, specification and purchase order requirements. Additional material certs may be required at the time of purchase and will be noted on the purchase order.</w:t>
      </w:r>
    </w:p>
    <w:p w14:paraId="7D14C43B" w14:textId="5F5C16AD" w:rsidR="004D77DD" w:rsidRPr="00FD22DA" w:rsidRDefault="004D77DD" w:rsidP="007911C1">
      <w:pPr>
        <w:pStyle w:val="NoSpacing"/>
        <w:rPr>
          <w:b/>
          <w:bCs/>
        </w:rPr>
      </w:pPr>
    </w:p>
    <w:p w14:paraId="04031C35" w14:textId="77777777" w:rsidR="007911C1" w:rsidRPr="006F25CD" w:rsidRDefault="007911C1" w:rsidP="006F25CD">
      <w:pPr>
        <w:pStyle w:val="Heading2"/>
      </w:pPr>
      <w:bookmarkStart w:id="12" w:name="_Toc161329392"/>
      <w:r w:rsidRPr="006F25CD">
        <w:t>Age Control</w:t>
      </w:r>
      <w:bookmarkEnd w:id="12"/>
    </w:p>
    <w:p w14:paraId="77AC8A9D" w14:textId="231A2486" w:rsidR="004D77DD" w:rsidRDefault="007911C1" w:rsidP="007911C1">
      <w:pPr>
        <w:pStyle w:val="NoSpacing"/>
      </w:pPr>
      <w:r>
        <w:t xml:space="preserve">If </w:t>
      </w:r>
      <w:r w:rsidR="004D77DD">
        <w:t>a p</w:t>
      </w:r>
      <w:r>
        <w:t>roduct supplied is subject to age control</w:t>
      </w:r>
      <w:r w:rsidR="00E5308A">
        <w:t xml:space="preserve">, </w:t>
      </w:r>
      <w:r>
        <w:t>the manufacturing/cure date and expiration dates shall be specified on the cert of conformance and or packaging.</w:t>
      </w:r>
      <w:r w:rsidR="004D77DD">
        <w:t xml:space="preserve"> </w:t>
      </w:r>
      <w:r>
        <w:t xml:space="preserve">Unless otherwise agreed to in writing </w:t>
      </w:r>
      <w:r w:rsidR="0062695E">
        <w:t>HBS</w:t>
      </w:r>
      <w:r>
        <w:t xml:space="preserve"> requires </w:t>
      </w:r>
      <w:r w:rsidR="006F25CD">
        <w:t xml:space="preserve">80% </w:t>
      </w:r>
      <w:r>
        <w:t xml:space="preserve">of the products shelf life to be remaining at the time of receipt. </w:t>
      </w:r>
    </w:p>
    <w:p w14:paraId="065DC98A" w14:textId="20B916CD" w:rsidR="007911C1" w:rsidRPr="00F3126A" w:rsidRDefault="007911C1" w:rsidP="007911C1">
      <w:pPr>
        <w:pStyle w:val="NoSpacing"/>
      </w:pPr>
      <w:r>
        <w:t xml:space="preserve"> </w:t>
      </w:r>
    </w:p>
    <w:p w14:paraId="57097405" w14:textId="77777777" w:rsidR="007911C1" w:rsidRPr="006F25CD" w:rsidRDefault="007911C1" w:rsidP="006F25CD">
      <w:pPr>
        <w:pStyle w:val="Heading2"/>
      </w:pPr>
      <w:bookmarkStart w:id="13" w:name="_Toc161329393"/>
      <w:r w:rsidRPr="006F25CD">
        <w:t>Inspection and Testing and Retention of Records</w:t>
      </w:r>
      <w:bookmarkEnd w:id="13"/>
    </w:p>
    <w:p w14:paraId="77FA9178" w14:textId="4CE76E5B" w:rsidR="004D77DD" w:rsidRDefault="007911C1" w:rsidP="007911C1">
      <w:pPr>
        <w:pStyle w:val="NoSpacing"/>
      </w:pPr>
      <w:r>
        <w:t xml:space="preserve">All inspections and tests </w:t>
      </w:r>
      <w:r w:rsidR="004D77DD">
        <w:t>(</w:t>
      </w:r>
      <w:r>
        <w:t>if required</w:t>
      </w:r>
      <w:r w:rsidR="004D77DD">
        <w:t>)</w:t>
      </w:r>
      <w:r>
        <w:t xml:space="preserve"> must be performed prior to shipment to </w:t>
      </w:r>
      <w:r w:rsidR="0062695E">
        <w:t>HBS</w:t>
      </w:r>
      <w:r>
        <w:t xml:space="preserve">. Any and all records relating to the performance of this </w:t>
      </w:r>
      <w:r w:rsidR="004D77DD">
        <w:t>a</w:t>
      </w:r>
      <w:r>
        <w:t xml:space="preserve">greement shall be retained and available for review by </w:t>
      </w:r>
      <w:r w:rsidR="0062695E">
        <w:t>HBS</w:t>
      </w:r>
      <w:r>
        <w:t xml:space="preserve"> for a minimum of 10 years from the date of shipme</w:t>
      </w:r>
      <w:r w:rsidR="00E5308A">
        <w:t xml:space="preserve">nt. </w:t>
      </w:r>
      <w:r w:rsidR="0062695E">
        <w:t>HBS</w:t>
      </w:r>
      <w:r>
        <w:t xml:space="preserve"> reserves the right to audit </w:t>
      </w:r>
      <w:r w:rsidR="004D77DD">
        <w:t xml:space="preserve">a </w:t>
      </w:r>
      <w:r>
        <w:t xml:space="preserve">supplier’s quality system and/or quality records pertaining to the performance of products or services provided. </w:t>
      </w:r>
    </w:p>
    <w:p w14:paraId="20B4C932" w14:textId="5322C55E" w:rsidR="007911C1" w:rsidRDefault="007911C1" w:rsidP="007911C1">
      <w:pPr>
        <w:pStyle w:val="NoSpacing"/>
      </w:pPr>
      <w:r>
        <w:t xml:space="preserve"> </w:t>
      </w:r>
    </w:p>
    <w:p w14:paraId="529753C9" w14:textId="77777777" w:rsidR="007911C1" w:rsidRPr="006F25CD" w:rsidRDefault="007911C1" w:rsidP="006F25CD">
      <w:pPr>
        <w:pStyle w:val="Heading2"/>
      </w:pPr>
      <w:bookmarkStart w:id="14" w:name="_Toc161329394"/>
      <w:r w:rsidRPr="006F25CD">
        <w:t>Insurance</w:t>
      </w:r>
      <w:bookmarkEnd w:id="14"/>
    </w:p>
    <w:p w14:paraId="6D049C9D" w14:textId="77777777" w:rsidR="004D77DD" w:rsidRDefault="007911C1" w:rsidP="007911C1">
      <w:pPr>
        <w:pStyle w:val="NoSpacing"/>
      </w:pPr>
      <w:r>
        <w:t>Seller shall maintain and carry commercial general liability insurance.</w:t>
      </w:r>
    </w:p>
    <w:p w14:paraId="127630F2" w14:textId="62AB9F21" w:rsidR="007911C1" w:rsidRDefault="007911C1" w:rsidP="007911C1">
      <w:pPr>
        <w:pStyle w:val="NoSpacing"/>
      </w:pPr>
      <w:r>
        <w:t xml:space="preserve">  </w:t>
      </w:r>
    </w:p>
    <w:p w14:paraId="5B406F1B" w14:textId="77777777" w:rsidR="007911C1" w:rsidRPr="006F25CD" w:rsidRDefault="007911C1" w:rsidP="006F25CD">
      <w:pPr>
        <w:pStyle w:val="Heading2"/>
      </w:pPr>
      <w:bookmarkStart w:id="15" w:name="_Toc161329395"/>
      <w:r w:rsidRPr="006F25CD">
        <w:t>HAZMAT</w:t>
      </w:r>
      <w:bookmarkEnd w:id="15"/>
    </w:p>
    <w:p w14:paraId="51F34BAE" w14:textId="2DA1061C" w:rsidR="007911C1" w:rsidRDefault="007911C1" w:rsidP="007911C1">
      <w:pPr>
        <w:pStyle w:val="NoSpacing"/>
      </w:pPr>
      <w:r>
        <w:t xml:space="preserve">Seller shall notify </w:t>
      </w:r>
      <w:r w:rsidR="0062695E">
        <w:t>HBS</w:t>
      </w:r>
      <w:r>
        <w:t xml:space="preserve"> of all HAZMAT/Dangerous </w:t>
      </w:r>
      <w:r w:rsidR="004D77DD">
        <w:t>g</w:t>
      </w:r>
      <w:r>
        <w:t xml:space="preserve">oods while quoting goods prior to order acceptance.  Seller shall advise </w:t>
      </w:r>
      <w:r w:rsidR="0062695E">
        <w:t>HBS</w:t>
      </w:r>
      <w:r>
        <w:t xml:space="preserve"> if special shipping methods are required prior to order acceptance. All HAZMAT items must be properly identified and marked per applicable laws and requirements.</w:t>
      </w:r>
    </w:p>
    <w:p w14:paraId="7DAB2920" w14:textId="77777777" w:rsidR="007911C1" w:rsidRDefault="007911C1" w:rsidP="007911C1">
      <w:pPr>
        <w:pStyle w:val="NoSpacing"/>
      </w:pPr>
    </w:p>
    <w:p w14:paraId="2A55A571" w14:textId="77777777" w:rsidR="007911C1" w:rsidRPr="006F25CD" w:rsidRDefault="007911C1" w:rsidP="006F25CD">
      <w:pPr>
        <w:pStyle w:val="Heading2"/>
      </w:pPr>
      <w:bookmarkStart w:id="16" w:name="_Toc161329396"/>
      <w:r w:rsidRPr="006F25CD">
        <w:t>Non-Conforming Product</w:t>
      </w:r>
      <w:bookmarkEnd w:id="16"/>
    </w:p>
    <w:p w14:paraId="32B89A6C" w14:textId="2284ACFB" w:rsidR="007911C1" w:rsidRDefault="007911C1" w:rsidP="007911C1">
      <w:pPr>
        <w:pStyle w:val="NoSpacing"/>
      </w:pPr>
      <w:r>
        <w:t xml:space="preserve">All product provided shall consist of new and authentic products only. If the Purchase Order calls out a specific manufacturer; supplying another manufacturer’s product shall be cause for rejection. If seller delivers non-conforming goods, </w:t>
      </w:r>
      <w:r w:rsidR="0062695E">
        <w:t>HBS</w:t>
      </w:r>
      <w:r>
        <w:t xml:space="preserve"> may return the goods for refund or credit at the seller’s expense. If a non-conformance is discovered by seller, prior to shipment, which does not affect form, fit, or function, a request for waiver may be submitted to </w:t>
      </w:r>
      <w:r w:rsidR="0062695E">
        <w:t>HBS</w:t>
      </w:r>
      <w:r>
        <w:t xml:space="preserve"> in writing. Seller must receive any change authorizations in writing from </w:t>
      </w:r>
      <w:r w:rsidR="0062695E">
        <w:t>HBS</w:t>
      </w:r>
      <w:r>
        <w:t xml:space="preserve"> prior to shipment. If </w:t>
      </w:r>
      <w:r w:rsidR="0062695E">
        <w:t>HBS</w:t>
      </w:r>
      <w:r>
        <w:t xml:space="preserve"> has reason to believe that goods provided contain suspect and/or counterfeit parts, </w:t>
      </w:r>
      <w:r w:rsidR="0062695E">
        <w:t>HBS</w:t>
      </w:r>
      <w:r>
        <w:t xml:space="preserve"> shall provide seller appropriate notice, impound the suspect parts and report to seller for full credit or replacement. Seller may be liable for all costs associated with the detection and disposal of Counterfeit product.</w:t>
      </w:r>
    </w:p>
    <w:p w14:paraId="7F0BCCFD" w14:textId="77777777" w:rsidR="004D77DD" w:rsidRPr="007E313C" w:rsidRDefault="004D77DD" w:rsidP="007911C1">
      <w:pPr>
        <w:pStyle w:val="NoSpacing"/>
      </w:pPr>
    </w:p>
    <w:p w14:paraId="22BB67F8" w14:textId="77777777" w:rsidR="007911C1" w:rsidRPr="006F25CD" w:rsidRDefault="007911C1" w:rsidP="006F25CD">
      <w:pPr>
        <w:pStyle w:val="Heading2"/>
      </w:pPr>
      <w:bookmarkStart w:id="17" w:name="_Toc161329397"/>
      <w:r w:rsidRPr="006F25CD">
        <w:lastRenderedPageBreak/>
        <w:t>Warranty</w:t>
      </w:r>
      <w:bookmarkEnd w:id="17"/>
    </w:p>
    <w:p w14:paraId="0A9056BC" w14:textId="50E7B9C5" w:rsidR="007911C1" w:rsidRDefault="007911C1" w:rsidP="007911C1">
      <w:pPr>
        <w:pStyle w:val="NoSpacing"/>
      </w:pPr>
      <w:r>
        <w:t xml:space="preserve">Seller warrants the goods delivered conform to the Purchase Order, shall be new, conform to the product’s specifications, and be defect free. Seller shall be liable for and save </w:t>
      </w:r>
      <w:r w:rsidR="0062695E">
        <w:t>HBS</w:t>
      </w:r>
      <w:r>
        <w:t xml:space="preserve"> harmless from any loss, damage, or expense that </w:t>
      </w:r>
      <w:r w:rsidR="0062695E">
        <w:t>HBS</w:t>
      </w:r>
      <w:r>
        <w:t xml:space="preserve"> may suffer from the breach of any of these warranties.</w:t>
      </w:r>
    </w:p>
    <w:p w14:paraId="64CE9348" w14:textId="77777777" w:rsidR="004D77DD" w:rsidRDefault="004D77DD" w:rsidP="007911C1">
      <w:pPr>
        <w:pStyle w:val="NoSpacing"/>
      </w:pPr>
    </w:p>
    <w:p w14:paraId="5E5C2244" w14:textId="77777777" w:rsidR="007911C1" w:rsidRPr="006F25CD" w:rsidRDefault="007911C1" w:rsidP="006F25CD">
      <w:pPr>
        <w:pStyle w:val="Heading2"/>
      </w:pPr>
      <w:bookmarkStart w:id="18" w:name="_Toc161329398"/>
      <w:r w:rsidRPr="006F25CD">
        <w:t>Indemnification:</w:t>
      </w:r>
      <w:bookmarkEnd w:id="18"/>
    </w:p>
    <w:p w14:paraId="4B0FA62B" w14:textId="3266AE97" w:rsidR="004D77DD" w:rsidRDefault="007911C1" w:rsidP="007911C1">
      <w:pPr>
        <w:pStyle w:val="NoSpacing"/>
      </w:pPr>
      <w:r>
        <w:t xml:space="preserve">Seller shall indemnify, hold harmless and if required help defend </w:t>
      </w:r>
      <w:r w:rsidR="0062695E">
        <w:t>HBS</w:t>
      </w:r>
      <w:r>
        <w:t xml:space="preserve"> including </w:t>
      </w:r>
      <w:r w:rsidR="0062695E">
        <w:t>HBS</w:t>
      </w:r>
      <w:r>
        <w:t xml:space="preserve"> officers, directors, and employees against all claims, liabilities, damages, losses and expense connected with the products or services provided or implied on </w:t>
      </w:r>
      <w:r w:rsidR="0062695E">
        <w:t>HBS</w:t>
      </w:r>
      <w:r>
        <w:t>’</w:t>
      </w:r>
      <w:r w:rsidR="004D77DD">
        <w:t>s</w:t>
      </w:r>
      <w:r>
        <w:t xml:space="preserve"> Purchase Order.</w:t>
      </w:r>
    </w:p>
    <w:p w14:paraId="0F9B7ED8" w14:textId="63F50D64" w:rsidR="007911C1" w:rsidRDefault="007911C1" w:rsidP="007911C1">
      <w:pPr>
        <w:pStyle w:val="NoSpacing"/>
      </w:pPr>
      <w:r>
        <w:t xml:space="preserve"> </w:t>
      </w:r>
    </w:p>
    <w:p w14:paraId="5B5DECC6" w14:textId="77777777" w:rsidR="007911C1" w:rsidRPr="006F25CD" w:rsidRDefault="007911C1" w:rsidP="006F25CD">
      <w:pPr>
        <w:pStyle w:val="Heading2"/>
      </w:pPr>
      <w:bookmarkStart w:id="19" w:name="_Toc161329399"/>
      <w:r w:rsidRPr="006F25CD">
        <w:t>Disputes</w:t>
      </w:r>
      <w:bookmarkEnd w:id="19"/>
    </w:p>
    <w:p w14:paraId="3D514CA2" w14:textId="3CD3173F" w:rsidR="007911C1" w:rsidRDefault="007911C1" w:rsidP="007911C1">
      <w:pPr>
        <w:pStyle w:val="NoSpacing"/>
      </w:pPr>
      <w:r>
        <w:t>The provisions of these Terms and Conditions shall be interpreted in accordance with the laws of the State of California</w:t>
      </w:r>
      <w:r w:rsidR="004D77DD">
        <w:t xml:space="preserve">, </w:t>
      </w:r>
      <w:r>
        <w:t>and any disputes related shall be subject to the exclusive jurisdiction of the state and federal courts located in San Diego, California.</w:t>
      </w:r>
    </w:p>
    <w:p w14:paraId="72F5C17C" w14:textId="77777777" w:rsidR="007911C1" w:rsidRDefault="007911C1" w:rsidP="007911C1">
      <w:pPr>
        <w:pStyle w:val="NoSpacing"/>
      </w:pPr>
    </w:p>
    <w:p w14:paraId="590C9BB2" w14:textId="77777777" w:rsidR="007911C1" w:rsidRDefault="007911C1" w:rsidP="007911C1">
      <w:pPr>
        <w:pStyle w:val="NoSpacing"/>
      </w:pPr>
    </w:p>
    <w:p w14:paraId="6929DF21" w14:textId="77777777" w:rsidR="00BD6B33" w:rsidRPr="00FD22DA" w:rsidRDefault="00BD6B33" w:rsidP="00BD6B33">
      <w:pPr>
        <w:pStyle w:val="Header1"/>
        <w:rPr>
          <w:rFonts w:asciiTheme="minorHAnsi" w:hAnsiTheme="minorHAnsi" w:cstheme="minorHAnsi"/>
          <w:b w:val="0"/>
          <w:color w:val="auto"/>
          <w:sz w:val="22"/>
          <w:szCs w:val="22"/>
        </w:rPr>
      </w:pPr>
      <w:bookmarkStart w:id="20" w:name="_Hlk160786632"/>
      <w:r w:rsidRPr="00FD22DA">
        <w:rPr>
          <w:rFonts w:asciiTheme="minorHAnsi" w:hAnsiTheme="minorHAnsi" w:cstheme="minorHAnsi"/>
          <w:sz w:val="22"/>
          <w:szCs w:val="22"/>
        </w:rPr>
        <w:t>Change Record</w:t>
      </w:r>
    </w:p>
    <w:tbl>
      <w:tblPr>
        <w:tblW w:w="9530" w:type="dxa"/>
        <w:tblLayout w:type="fixed"/>
        <w:tblCellMar>
          <w:left w:w="80" w:type="dxa"/>
          <w:right w:w="80" w:type="dxa"/>
        </w:tblCellMar>
        <w:tblLook w:val="0000" w:firstRow="0" w:lastRow="0" w:firstColumn="0" w:lastColumn="0" w:noHBand="0" w:noVBand="0"/>
      </w:tblPr>
      <w:tblGrid>
        <w:gridCol w:w="1728"/>
        <w:gridCol w:w="1728"/>
        <w:gridCol w:w="1728"/>
        <w:gridCol w:w="4346"/>
      </w:tblGrid>
      <w:tr w:rsidR="00BD6B33" w:rsidRPr="00F45CEE" w14:paraId="5ACB8B3B" w14:textId="77777777" w:rsidTr="006A7F02">
        <w:trPr>
          <w:cantSplit/>
        </w:trPr>
        <w:tc>
          <w:tcPr>
            <w:tcW w:w="1728" w:type="dxa"/>
            <w:tcBorders>
              <w:top w:val="single" w:sz="6" w:space="0" w:color="auto"/>
              <w:left w:val="single" w:sz="6" w:space="0" w:color="auto"/>
              <w:bottom w:val="single" w:sz="6" w:space="0" w:color="auto"/>
              <w:right w:val="single" w:sz="6" w:space="0" w:color="auto"/>
            </w:tcBorders>
          </w:tcPr>
          <w:p w14:paraId="0661DD5E" w14:textId="77777777" w:rsidR="00BD6B33" w:rsidRPr="00F45CEE" w:rsidRDefault="00BD6B33" w:rsidP="009A4CD0">
            <w:pPr>
              <w:spacing w:before="240"/>
              <w:jc w:val="center"/>
              <w:rPr>
                <w:rFonts w:cstheme="minorHAnsi"/>
                <w:b/>
              </w:rPr>
            </w:pPr>
            <w:r w:rsidRPr="00F45CEE">
              <w:rPr>
                <w:rFonts w:cstheme="minorHAnsi"/>
                <w:b/>
              </w:rPr>
              <w:t>Rev</w:t>
            </w:r>
          </w:p>
        </w:tc>
        <w:tc>
          <w:tcPr>
            <w:tcW w:w="1728" w:type="dxa"/>
            <w:tcBorders>
              <w:top w:val="single" w:sz="6" w:space="0" w:color="auto"/>
              <w:left w:val="single" w:sz="6" w:space="0" w:color="auto"/>
              <w:bottom w:val="single" w:sz="6" w:space="0" w:color="auto"/>
              <w:right w:val="single" w:sz="6" w:space="0" w:color="auto"/>
            </w:tcBorders>
          </w:tcPr>
          <w:p w14:paraId="73761398" w14:textId="77777777" w:rsidR="00BD6B33" w:rsidRPr="00F45CEE" w:rsidRDefault="00BD6B33" w:rsidP="009A4CD0">
            <w:pPr>
              <w:spacing w:before="240"/>
              <w:jc w:val="center"/>
              <w:rPr>
                <w:rFonts w:cstheme="minorHAnsi"/>
                <w:b/>
              </w:rPr>
            </w:pPr>
            <w:r w:rsidRPr="00F45CEE">
              <w:rPr>
                <w:rFonts w:cstheme="minorHAnsi"/>
                <w:b/>
              </w:rPr>
              <w:t>Date</w:t>
            </w:r>
          </w:p>
        </w:tc>
        <w:tc>
          <w:tcPr>
            <w:tcW w:w="1728" w:type="dxa"/>
            <w:tcBorders>
              <w:top w:val="single" w:sz="6" w:space="0" w:color="auto"/>
              <w:left w:val="single" w:sz="6" w:space="0" w:color="auto"/>
              <w:bottom w:val="single" w:sz="6" w:space="0" w:color="auto"/>
              <w:right w:val="single" w:sz="6" w:space="0" w:color="auto"/>
            </w:tcBorders>
          </w:tcPr>
          <w:p w14:paraId="13DAB41E" w14:textId="77777777" w:rsidR="00BD6B33" w:rsidRPr="00F45CEE" w:rsidRDefault="00BD6B33" w:rsidP="009A4CD0">
            <w:pPr>
              <w:spacing w:before="240"/>
              <w:rPr>
                <w:rFonts w:cstheme="minorHAnsi"/>
                <w:b/>
              </w:rPr>
            </w:pPr>
            <w:r w:rsidRPr="00F45CEE">
              <w:rPr>
                <w:rFonts w:cstheme="minorHAnsi"/>
                <w:b/>
              </w:rPr>
              <w:t>Responsible Person</w:t>
            </w:r>
          </w:p>
        </w:tc>
        <w:tc>
          <w:tcPr>
            <w:tcW w:w="4346" w:type="dxa"/>
            <w:tcBorders>
              <w:top w:val="single" w:sz="6" w:space="0" w:color="auto"/>
              <w:left w:val="single" w:sz="6" w:space="0" w:color="auto"/>
              <w:bottom w:val="single" w:sz="6" w:space="0" w:color="auto"/>
              <w:right w:val="single" w:sz="6" w:space="0" w:color="auto"/>
            </w:tcBorders>
          </w:tcPr>
          <w:p w14:paraId="483CAD27" w14:textId="77777777" w:rsidR="00BD6B33" w:rsidRPr="00F45CEE" w:rsidRDefault="00BD6B33" w:rsidP="009A4CD0">
            <w:pPr>
              <w:spacing w:before="240"/>
              <w:rPr>
                <w:rFonts w:cstheme="minorHAnsi"/>
                <w:b/>
              </w:rPr>
            </w:pPr>
            <w:r w:rsidRPr="00F45CEE">
              <w:rPr>
                <w:rFonts w:cstheme="minorHAnsi"/>
                <w:b/>
              </w:rPr>
              <w:t>Description of Change</w:t>
            </w:r>
          </w:p>
        </w:tc>
      </w:tr>
      <w:tr w:rsidR="00BD6B33" w:rsidRPr="00F45CEE" w14:paraId="3C72C672" w14:textId="77777777" w:rsidTr="006A7F02">
        <w:trPr>
          <w:cantSplit/>
        </w:trPr>
        <w:tc>
          <w:tcPr>
            <w:tcW w:w="1728" w:type="dxa"/>
            <w:tcBorders>
              <w:top w:val="single" w:sz="6" w:space="0" w:color="auto"/>
              <w:left w:val="single" w:sz="6" w:space="0" w:color="auto"/>
              <w:bottom w:val="single" w:sz="6" w:space="0" w:color="auto"/>
              <w:right w:val="single" w:sz="6" w:space="0" w:color="auto"/>
            </w:tcBorders>
            <w:vAlign w:val="center"/>
          </w:tcPr>
          <w:p w14:paraId="4DA93D03" w14:textId="77777777" w:rsidR="00BD6B33" w:rsidRPr="00FD22DA" w:rsidRDefault="00BD6B33" w:rsidP="009A4CD0">
            <w:pPr>
              <w:pStyle w:val="Tabletext"/>
              <w:spacing w:before="240"/>
              <w:jc w:val="center"/>
              <w:rPr>
                <w:rFonts w:asciiTheme="minorHAnsi" w:hAnsiTheme="minorHAnsi" w:cstheme="minorHAnsi"/>
                <w:sz w:val="22"/>
                <w:szCs w:val="22"/>
              </w:rPr>
            </w:pPr>
            <w:r w:rsidRPr="00FD22DA">
              <w:rPr>
                <w:rFonts w:asciiTheme="minorHAnsi" w:hAnsiTheme="minorHAnsi" w:cstheme="minorHAnsi"/>
                <w:sz w:val="22"/>
                <w:szCs w:val="22"/>
              </w:rPr>
              <w:t>A</w:t>
            </w:r>
          </w:p>
        </w:tc>
        <w:tc>
          <w:tcPr>
            <w:tcW w:w="1728" w:type="dxa"/>
            <w:tcBorders>
              <w:top w:val="single" w:sz="6" w:space="0" w:color="auto"/>
              <w:left w:val="single" w:sz="6" w:space="0" w:color="auto"/>
              <w:bottom w:val="single" w:sz="6" w:space="0" w:color="auto"/>
              <w:right w:val="single" w:sz="6" w:space="0" w:color="auto"/>
            </w:tcBorders>
            <w:vAlign w:val="center"/>
          </w:tcPr>
          <w:p w14:paraId="7096691D" w14:textId="565D7FC7" w:rsidR="00BD6B33" w:rsidRPr="00FD22DA" w:rsidRDefault="00BD6B33" w:rsidP="009A4CD0">
            <w:pPr>
              <w:pStyle w:val="Tabletext"/>
              <w:spacing w:before="240"/>
              <w:jc w:val="center"/>
              <w:rPr>
                <w:rFonts w:asciiTheme="minorHAnsi" w:hAnsiTheme="minorHAnsi" w:cstheme="minorHAnsi"/>
                <w:sz w:val="22"/>
                <w:szCs w:val="22"/>
              </w:rPr>
            </w:pPr>
            <w:r w:rsidRPr="00FD22DA">
              <w:rPr>
                <w:rFonts w:asciiTheme="minorHAnsi" w:hAnsiTheme="minorHAnsi" w:cstheme="minorHAnsi"/>
                <w:sz w:val="22"/>
                <w:szCs w:val="22"/>
              </w:rPr>
              <w:t>2</w:t>
            </w:r>
            <w:r w:rsidR="00F45CEE" w:rsidRPr="00FD22DA">
              <w:rPr>
                <w:rFonts w:asciiTheme="minorHAnsi" w:hAnsiTheme="minorHAnsi" w:cstheme="minorHAnsi"/>
                <w:sz w:val="22"/>
                <w:szCs w:val="22"/>
              </w:rPr>
              <w:t>8</w:t>
            </w:r>
            <w:r w:rsidRPr="00FD22DA">
              <w:rPr>
                <w:rFonts w:asciiTheme="minorHAnsi" w:hAnsiTheme="minorHAnsi" w:cstheme="minorHAnsi"/>
                <w:sz w:val="22"/>
                <w:szCs w:val="22"/>
              </w:rPr>
              <w:t xml:space="preserve"> </w:t>
            </w:r>
            <w:r w:rsidR="00F45CEE" w:rsidRPr="00FD22DA">
              <w:rPr>
                <w:rFonts w:asciiTheme="minorHAnsi" w:hAnsiTheme="minorHAnsi" w:cstheme="minorHAnsi"/>
                <w:sz w:val="22"/>
                <w:szCs w:val="22"/>
              </w:rPr>
              <w:t>May</w:t>
            </w:r>
            <w:r w:rsidRPr="00FD22DA">
              <w:rPr>
                <w:rFonts w:asciiTheme="minorHAnsi" w:hAnsiTheme="minorHAnsi" w:cstheme="minorHAnsi"/>
                <w:sz w:val="22"/>
                <w:szCs w:val="22"/>
              </w:rPr>
              <w:t xml:space="preserve"> 20</w:t>
            </w:r>
            <w:r w:rsidR="00F45CEE" w:rsidRPr="00FD22DA">
              <w:rPr>
                <w:rFonts w:asciiTheme="minorHAnsi" w:hAnsiTheme="minorHAnsi" w:cstheme="minorHAnsi"/>
                <w:sz w:val="22"/>
                <w:szCs w:val="22"/>
              </w:rPr>
              <w:t>1</w:t>
            </w:r>
            <w:r w:rsidRPr="00FD22DA">
              <w:rPr>
                <w:rFonts w:asciiTheme="minorHAnsi" w:hAnsiTheme="minorHAnsi" w:cstheme="minorHAnsi"/>
                <w:sz w:val="22"/>
                <w:szCs w:val="22"/>
              </w:rPr>
              <w:t>9</w:t>
            </w:r>
          </w:p>
        </w:tc>
        <w:tc>
          <w:tcPr>
            <w:tcW w:w="1728" w:type="dxa"/>
            <w:tcBorders>
              <w:top w:val="single" w:sz="6" w:space="0" w:color="auto"/>
              <w:left w:val="single" w:sz="6" w:space="0" w:color="auto"/>
              <w:bottom w:val="single" w:sz="6" w:space="0" w:color="auto"/>
              <w:right w:val="single" w:sz="6" w:space="0" w:color="auto"/>
            </w:tcBorders>
            <w:vAlign w:val="center"/>
          </w:tcPr>
          <w:p w14:paraId="554B733F" w14:textId="07C497C1" w:rsidR="00BD6B33" w:rsidRPr="00FD22DA" w:rsidRDefault="00F45CEE" w:rsidP="009A4CD0">
            <w:pPr>
              <w:pStyle w:val="Tabletext"/>
              <w:spacing w:before="240"/>
              <w:jc w:val="center"/>
              <w:rPr>
                <w:rFonts w:asciiTheme="minorHAnsi" w:hAnsiTheme="minorHAnsi" w:cstheme="minorHAnsi"/>
                <w:sz w:val="22"/>
                <w:szCs w:val="22"/>
              </w:rPr>
            </w:pPr>
            <w:r>
              <w:rPr>
                <w:rFonts w:asciiTheme="minorHAnsi" w:hAnsiTheme="minorHAnsi" w:cstheme="minorHAnsi"/>
                <w:sz w:val="22"/>
                <w:szCs w:val="22"/>
              </w:rPr>
              <w:t>M. Daigle</w:t>
            </w:r>
          </w:p>
        </w:tc>
        <w:tc>
          <w:tcPr>
            <w:tcW w:w="4346" w:type="dxa"/>
            <w:tcBorders>
              <w:top w:val="single" w:sz="6" w:space="0" w:color="auto"/>
              <w:left w:val="single" w:sz="6" w:space="0" w:color="auto"/>
              <w:bottom w:val="single" w:sz="6" w:space="0" w:color="auto"/>
              <w:right w:val="single" w:sz="6" w:space="0" w:color="auto"/>
            </w:tcBorders>
            <w:vAlign w:val="center"/>
          </w:tcPr>
          <w:p w14:paraId="4A911F83" w14:textId="6F3706AD" w:rsidR="00BD6B33" w:rsidRPr="00FD22DA" w:rsidRDefault="00BD6B33" w:rsidP="009A4CD0">
            <w:pPr>
              <w:pStyle w:val="Tabletext"/>
              <w:spacing w:before="240"/>
              <w:rPr>
                <w:rFonts w:asciiTheme="minorHAnsi" w:hAnsiTheme="minorHAnsi" w:cstheme="minorHAnsi"/>
                <w:sz w:val="22"/>
                <w:szCs w:val="22"/>
              </w:rPr>
            </w:pPr>
            <w:r w:rsidRPr="00FD22DA">
              <w:rPr>
                <w:rFonts w:asciiTheme="minorHAnsi" w:hAnsiTheme="minorHAnsi" w:cstheme="minorHAnsi"/>
                <w:sz w:val="22"/>
                <w:szCs w:val="22"/>
              </w:rPr>
              <w:t>Initial release</w:t>
            </w:r>
          </w:p>
        </w:tc>
      </w:tr>
      <w:tr w:rsidR="00F45CEE" w:rsidRPr="00F45CEE" w14:paraId="3758FC50" w14:textId="77777777" w:rsidTr="006A7F02">
        <w:trPr>
          <w:cantSplit/>
        </w:trPr>
        <w:tc>
          <w:tcPr>
            <w:tcW w:w="1728" w:type="dxa"/>
            <w:tcBorders>
              <w:top w:val="single" w:sz="6" w:space="0" w:color="auto"/>
              <w:left w:val="single" w:sz="6" w:space="0" w:color="auto"/>
              <w:bottom w:val="single" w:sz="6" w:space="0" w:color="auto"/>
              <w:right w:val="single" w:sz="6" w:space="0" w:color="auto"/>
            </w:tcBorders>
            <w:vAlign w:val="center"/>
          </w:tcPr>
          <w:p w14:paraId="35D3491E" w14:textId="740D85C3" w:rsidR="00F45CEE" w:rsidRPr="00F45CEE" w:rsidRDefault="00F45CEE" w:rsidP="009A4CD0">
            <w:pPr>
              <w:pStyle w:val="Tabletext"/>
              <w:spacing w:before="240"/>
              <w:jc w:val="center"/>
              <w:rPr>
                <w:rFonts w:asciiTheme="minorHAnsi" w:hAnsiTheme="minorHAnsi" w:cstheme="minorHAnsi"/>
                <w:sz w:val="22"/>
                <w:szCs w:val="22"/>
              </w:rPr>
            </w:pPr>
            <w:r>
              <w:rPr>
                <w:rFonts w:asciiTheme="minorHAnsi" w:hAnsiTheme="minorHAnsi" w:cstheme="minorHAnsi"/>
                <w:sz w:val="22"/>
                <w:szCs w:val="22"/>
              </w:rPr>
              <w:t>B</w:t>
            </w:r>
          </w:p>
        </w:tc>
        <w:tc>
          <w:tcPr>
            <w:tcW w:w="1728" w:type="dxa"/>
            <w:tcBorders>
              <w:top w:val="single" w:sz="6" w:space="0" w:color="auto"/>
              <w:left w:val="single" w:sz="6" w:space="0" w:color="auto"/>
              <w:bottom w:val="single" w:sz="6" w:space="0" w:color="auto"/>
              <w:right w:val="single" w:sz="6" w:space="0" w:color="auto"/>
            </w:tcBorders>
            <w:vAlign w:val="center"/>
          </w:tcPr>
          <w:p w14:paraId="05A8D367" w14:textId="457F34EC" w:rsidR="00F45CEE" w:rsidRPr="00F45CEE" w:rsidRDefault="00A47EE1" w:rsidP="009A4CD0">
            <w:pPr>
              <w:pStyle w:val="Tabletext"/>
              <w:spacing w:before="240"/>
              <w:jc w:val="center"/>
              <w:rPr>
                <w:rFonts w:asciiTheme="minorHAnsi" w:hAnsiTheme="minorHAnsi" w:cstheme="minorHAnsi"/>
                <w:sz w:val="22"/>
                <w:szCs w:val="22"/>
              </w:rPr>
            </w:pPr>
            <w:r>
              <w:rPr>
                <w:rFonts w:asciiTheme="minorHAnsi" w:hAnsiTheme="minorHAnsi" w:cstheme="minorHAnsi"/>
                <w:sz w:val="22"/>
                <w:szCs w:val="22"/>
              </w:rPr>
              <w:t>14 Mar</w:t>
            </w:r>
            <w:r w:rsidR="00F45CEE">
              <w:rPr>
                <w:rFonts w:asciiTheme="minorHAnsi" w:hAnsiTheme="minorHAnsi" w:cstheme="minorHAnsi"/>
                <w:sz w:val="22"/>
                <w:szCs w:val="22"/>
              </w:rPr>
              <w:t xml:space="preserve"> 2024</w:t>
            </w:r>
          </w:p>
        </w:tc>
        <w:tc>
          <w:tcPr>
            <w:tcW w:w="1728" w:type="dxa"/>
            <w:tcBorders>
              <w:top w:val="single" w:sz="6" w:space="0" w:color="auto"/>
              <w:left w:val="single" w:sz="6" w:space="0" w:color="auto"/>
              <w:bottom w:val="single" w:sz="6" w:space="0" w:color="auto"/>
              <w:right w:val="single" w:sz="6" w:space="0" w:color="auto"/>
            </w:tcBorders>
            <w:vAlign w:val="center"/>
          </w:tcPr>
          <w:p w14:paraId="38C2BF2E" w14:textId="2F1527B0" w:rsidR="00F45CEE" w:rsidRDefault="00F45CEE" w:rsidP="009A4CD0">
            <w:pPr>
              <w:pStyle w:val="Tabletext"/>
              <w:spacing w:before="240"/>
              <w:jc w:val="center"/>
              <w:rPr>
                <w:rFonts w:asciiTheme="minorHAnsi" w:hAnsiTheme="minorHAnsi" w:cstheme="minorHAnsi"/>
                <w:sz w:val="22"/>
                <w:szCs w:val="22"/>
              </w:rPr>
            </w:pPr>
            <w:r>
              <w:rPr>
                <w:rFonts w:asciiTheme="minorHAnsi" w:hAnsiTheme="minorHAnsi" w:cstheme="minorHAnsi"/>
                <w:sz w:val="22"/>
                <w:szCs w:val="22"/>
              </w:rPr>
              <w:t>S.G. Nuanez</w:t>
            </w:r>
          </w:p>
        </w:tc>
        <w:tc>
          <w:tcPr>
            <w:tcW w:w="4346" w:type="dxa"/>
            <w:tcBorders>
              <w:top w:val="single" w:sz="6" w:space="0" w:color="auto"/>
              <w:left w:val="single" w:sz="6" w:space="0" w:color="auto"/>
              <w:bottom w:val="single" w:sz="6" w:space="0" w:color="auto"/>
              <w:right w:val="single" w:sz="6" w:space="0" w:color="auto"/>
            </w:tcBorders>
            <w:vAlign w:val="center"/>
          </w:tcPr>
          <w:p w14:paraId="222D1A5C" w14:textId="3E580FA6" w:rsidR="00F45CEE" w:rsidRPr="00F45CEE" w:rsidRDefault="00F45CEE" w:rsidP="009A4CD0">
            <w:pPr>
              <w:pStyle w:val="Tabletext"/>
              <w:spacing w:before="240"/>
              <w:rPr>
                <w:rFonts w:asciiTheme="minorHAnsi" w:hAnsiTheme="minorHAnsi" w:cstheme="minorHAnsi"/>
                <w:sz w:val="22"/>
                <w:szCs w:val="22"/>
              </w:rPr>
            </w:pPr>
            <w:r>
              <w:rPr>
                <w:rFonts w:asciiTheme="minorHAnsi" w:hAnsiTheme="minorHAnsi" w:cstheme="minorHAnsi"/>
                <w:sz w:val="22"/>
                <w:szCs w:val="22"/>
              </w:rPr>
              <w:t xml:space="preserve">Added </w:t>
            </w:r>
            <w:r w:rsidR="00A47EE1">
              <w:rPr>
                <w:rFonts w:asciiTheme="minorHAnsi" w:hAnsiTheme="minorHAnsi" w:cstheme="minorHAnsi"/>
                <w:sz w:val="22"/>
                <w:szCs w:val="22"/>
              </w:rPr>
              <w:t xml:space="preserve">Conflict Minerals, </w:t>
            </w:r>
            <w:r>
              <w:rPr>
                <w:rFonts w:asciiTheme="minorHAnsi" w:hAnsiTheme="minorHAnsi" w:cstheme="minorHAnsi"/>
                <w:sz w:val="22"/>
                <w:szCs w:val="22"/>
              </w:rPr>
              <w:t>Material Declarations, Certificate of Conformance, and Change Record.</w:t>
            </w:r>
          </w:p>
        </w:tc>
      </w:tr>
      <w:tr w:rsidR="006A7F02" w:rsidRPr="00F45CEE" w14:paraId="6E2853B8" w14:textId="77777777" w:rsidTr="006A7F02">
        <w:trPr>
          <w:cantSplit/>
        </w:trPr>
        <w:tc>
          <w:tcPr>
            <w:tcW w:w="1728" w:type="dxa"/>
            <w:tcBorders>
              <w:top w:val="single" w:sz="6" w:space="0" w:color="auto"/>
              <w:left w:val="single" w:sz="6" w:space="0" w:color="auto"/>
              <w:bottom w:val="single" w:sz="6" w:space="0" w:color="auto"/>
              <w:right w:val="single" w:sz="6" w:space="0" w:color="auto"/>
            </w:tcBorders>
            <w:vAlign w:val="center"/>
          </w:tcPr>
          <w:p w14:paraId="3FB94D39" w14:textId="1C20ABAA" w:rsidR="006A7F02" w:rsidRDefault="006A7F02" w:rsidP="009A4CD0">
            <w:pPr>
              <w:pStyle w:val="Tabletext"/>
              <w:spacing w:before="240"/>
              <w:jc w:val="center"/>
              <w:rPr>
                <w:rFonts w:asciiTheme="minorHAnsi" w:hAnsiTheme="minorHAnsi" w:cstheme="minorHAnsi"/>
                <w:sz w:val="22"/>
                <w:szCs w:val="22"/>
              </w:rPr>
            </w:pPr>
            <w:r>
              <w:rPr>
                <w:rFonts w:asciiTheme="minorHAnsi" w:hAnsiTheme="minorHAnsi" w:cstheme="minorHAnsi"/>
                <w:sz w:val="22"/>
                <w:szCs w:val="22"/>
              </w:rPr>
              <w:t>C</w:t>
            </w:r>
          </w:p>
        </w:tc>
        <w:tc>
          <w:tcPr>
            <w:tcW w:w="1728" w:type="dxa"/>
            <w:tcBorders>
              <w:top w:val="single" w:sz="6" w:space="0" w:color="auto"/>
              <w:left w:val="single" w:sz="6" w:space="0" w:color="auto"/>
              <w:bottom w:val="single" w:sz="6" w:space="0" w:color="auto"/>
              <w:right w:val="single" w:sz="6" w:space="0" w:color="auto"/>
            </w:tcBorders>
            <w:vAlign w:val="center"/>
          </w:tcPr>
          <w:p w14:paraId="42D44784" w14:textId="62D1E419" w:rsidR="006A7F02" w:rsidRDefault="006A7F02" w:rsidP="009A4CD0">
            <w:pPr>
              <w:pStyle w:val="Tabletext"/>
              <w:spacing w:before="240"/>
              <w:jc w:val="center"/>
              <w:rPr>
                <w:rFonts w:asciiTheme="minorHAnsi" w:hAnsiTheme="minorHAnsi" w:cstheme="minorHAnsi"/>
                <w:sz w:val="22"/>
                <w:szCs w:val="22"/>
              </w:rPr>
            </w:pPr>
            <w:r>
              <w:rPr>
                <w:rFonts w:asciiTheme="minorHAnsi" w:hAnsiTheme="minorHAnsi" w:cstheme="minorHAnsi"/>
                <w:sz w:val="22"/>
                <w:szCs w:val="22"/>
              </w:rPr>
              <w:t>31 Oct 2025</w:t>
            </w:r>
          </w:p>
        </w:tc>
        <w:tc>
          <w:tcPr>
            <w:tcW w:w="1728" w:type="dxa"/>
            <w:tcBorders>
              <w:top w:val="single" w:sz="6" w:space="0" w:color="auto"/>
              <w:left w:val="single" w:sz="6" w:space="0" w:color="auto"/>
              <w:bottom w:val="single" w:sz="6" w:space="0" w:color="auto"/>
              <w:right w:val="single" w:sz="6" w:space="0" w:color="auto"/>
            </w:tcBorders>
            <w:vAlign w:val="center"/>
          </w:tcPr>
          <w:p w14:paraId="64C87B8D" w14:textId="273D8DF8" w:rsidR="006A7F02" w:rsidRDefault="006A7F02" w:rsidP="009A4CD0">
            <w:pPr>
              <w:pStyle w:val="Tabletext"/>
              <w:spacing w:before="240"/>
              <w:jc w:val="center"/>
              <w:rPr>
                <w:rFonts w:asciiTheme="minorHAnsi" w:hAnsiTheme="minorHAnsi" w:cstheme="minorHAnsi"/>
                <w:sz w:val="22"/>
                <w:szCs w:val="22"/>
              </w:rPr>
            </w:pPr>
            <w:r>
              <w:rPr>
                <w:rFonts w:asciiTheme="minorHAnsi" w:hAnsiTheme="minorHAnsi" w:cstheme="minorHAnsi"/>
                <w:sz w:val="22"/>
                <w:szCs w:val="22"/>
              </w:rPr>
              <w:t>S.G. Nuanez</w:t>
            </w:r>
          </w:p>
        </w:tc>
        <w:tc>
          <w:tcPr>
            <w:tcW w:w="4346" w:type="dxa"/>
            <w:tcBorders>
              <w:top w:val="single" w:sz="6" w:space="0" w:color="auto"/>
              <w:left w:val="single" w:sz="6" w:space="0" w:color="auto"/>
              <w:bottom w:val="single" w:sz="6" w:space="0" w:color="auto"/>
              <w:right w:val="single" w:sz="6" w:space="0" w:color="auto"/>
            </w:tcBorders>
            <w:vAlign w:val="center"/>
          </w:tcPr>
          <w:p w14:paraId="7A38BFF0" w14:textId="08899D20" w:rsidR="006A7F02" w:rsidRDefault="006A7F02" w:rsidP="009A4CD0">
            <w:pPr>
              <w:pStyle w:val="Tabletext"/>
              <w:spacing w:before="240"/>
              <w:rPr>
                <w:rFonts w:asciiTheme="minorHAnsi" w:hAnsiTheme="minorHAnsi" w:cstheme="minorHAnsi"/>
                <w:sz w:val="22"/>
                <w:szCs w:val="22"/>
              </w:rPr>
            </w:pPr>
            <w:r>
              <w:rPr>
                <w:rFonts w:asciiTheme="minorHAnsi" w:hAnsiTheme="minorHAnsi" w:cstheme="minorHAnsi"/>
                <w:sz w:val="22"/>
                <w:szCs w:val="22"/>
              </w:rPr>
              <w:t>Added Code of Conduct reference in General</w:t>
            </w:r>
          </w:p>
        </w:tc>
      </w:tr>
      <w:bookmarkEnd w:id="20"/>
    </w:tbl>
    <w:p w14:paraId="53BDD9FF" w14:textId="77777777" w:rsidR="007911C1" w:rsidRDefault="007911C1" w:rsidP="007911C1">
      <w:pPr>
        <w:pStyle w:val="NoSpacing"/>
      </w:pPr>
    </w:p>
    <w:p w14:paraId="3560FFC7" w14:textId="77777777" w:rsidR="003430DD" w:rsidRDefault="003430DD"/>
    <w:sectPr w:rsidR="003430D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B520" w14:textId="77777777" w:rsidR="00B72BE2" w:rsidRDefault="00B72BE2" w:rsidP="00B72BE2">
      <w:pPr>
        <w:spacing w:after="0" w:line="240" w:lineRule="auto"/>
      </w:pPr>
      <w:r>
        <w:separator/>
      </w:r>
    </w:p>
  </w:endnote>
  <w:endnote w:type="continuationSeparator" w:id="0">
    <w:p w14:paraId="341C5777" w14:textId="77777777" w:rsidR="00B72BE2" w:rsidRDefault="00B72BE2" w:rsidP="00B7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B935" w14:textId="772FB6FB" w:rsidR="00A3703C" w:rsidRDefault="00A3703C" w:rsidP="006F25CD">
    <w:pPr>
      <w:pStyle w:val="Footer"/>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007E" w14:textId="77777777" w:rsidR="00B72BE2" w:rsidRDefault="00B72BE2" w:rsidP="00B72BE2">
      <w:pPr>
        <w:spacing w:after="0" w:line="240" w:lineRule="auto"/>
      </w:pPr>
      <w:r>
        <w:separator/>
      </w:r>
    </w:p>
  </w:footnote>
  <w:footnote w:type="continuationSeparator" w:id="0">
    <w:p w14:paraId="2BB966E3" w14:textId="77777777" w:rsidR="00B72BE2" w:rsidRDefault="00B72BE2" w:rsidP="00B7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493B" w14:textId="1A9C7F90" w:rsidR="00B72BE2" w:rsidRPr="006F25CD" w:rsidRDefault="00B72BE2" w:rsidP="006F25CD">
    <w:pPr>
      <w:pStyle w:val="Header"/>
      <w:jc w:val="center"/>
      <w:rPr>
        <w:sz w:val="32"/>
        <w:szCs w:val="32"/>
      </w:rPr>
    </w:pPr>
    <w:r w:rsidRPr="006F25CD">
      <w:rPr>
        <w:sz w:val="32"/>
        <w:szCs w:val="32"/>
      </w:rPr>
      <w:t>Hayes Bolt and Supply</w:t>
    </w:r>
  </w:p>
  <w:p w14:paraId="3C897C08" w14:textId="60256142" w:rsidR="00A3703C" w:rsidRPr="006F25CD" w:rsidRDefault="00A3703C" w:rsidP="006F25CD">
    <w:pPr>
      <w:pStyle w:val="NoSpacing"/>
      <w:jc w:val="center"/>
      <w:rPr>
        <w:b/>
        <w:sz w:val="32"/>
        <w:szCs w:val="32"/>
      </w:rPr>
    </w:pPr>
    <w:r w:rsidRPr="006F25CD">
      <w:rPr>
        <w:b/>
        <w:sz w:val="32"/>
        <w:szCs w:val="32"/>
      </w:rPr>
      <w:t>Standard Supplier Terms and Conditions</w:t>
    </w:r>
    <w:r w:rsidR="00324CFC">
      <w:rPr>
        <w:b/>
        <w:sz w:val="32"/>
        <w:szCs w:val="32"/>
      </w:rPr>
      <w:br/>
    </w:r>
    <w:r w:rsidR="00324CFC" w:rsidRPr="00324CFC">
      <w:rPr>
        <w:b/>
        <w:i/>
        <w:iCs/>
        <w:sz w:val="24"/>
        <w:szCs w:val="24"/>
      </w:rPr>
      <w:t>Applies to all suppliers who sell product to Hayes Bolt &amp; Supply</w:t>
    </w:r>
  </w:p>
  <w:p w14:paraId="4BE9B749" w14:textId="3B4061EF" w:rsidR="00053761" w:rsidRDefault="00A3703C" w:rsidP="00053761">
    <w:pPr>
      <w:pStyle w:val="NoSpacing"/>
      <w:jc w:val="center"/>
      <w:rPr>
        <w:bCs/>
        <w:sz w:val="32"/>
        <w:szCs w:val="32"/>
      </w:rPr>
    </w:pPr>
    <w:r w:rsidRPr="006F25CD">
      <w:rPr>
        <w:bCs/>
        <w:sz w:val="32"/>
        <w:szCs w:val="32"/>
      </w:rPr>
      <w:t xml:space="preserve">HBS I-2 Rev </w:t>
    </w:r>
    <w:r w:rsidR="002F7DB2">
      <w:rPr>
        <w:bCs/>
        <w:sz w:val="32"/>
        <w:szCs w:val="32"/>
      </w:rPr>
      <w:t>C</w:t>
    </w:r>
  </w:p>
  <w:p w14:paraId="066C63A9" w14:textId="20DCE06A" w:rsidR="00B72BE2" w:rsidRDefault="00324CFC" w:rsidP="00324CFC">
    <w:pPr>
      <w:pStyle w:val="NoSpacing"/>
      <w:jc w:val="center"/>
    </w:pPr>
    <w:r>
      <w:rPr>
        <w:bCs/>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704E"/>
    <w:multiLevelType w:val="hybridMultilevel"/>
    <w:tmpl w:val="3E827D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99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formatting="1" w:enforcement="1" w:cryptProviderType="rsaAES" w:cryptAlgorithmClass="hash" w:cryptAlgorithmType="typeAny" w:cryptAlgorithmSid="14" w:cryptSpinCount="100000" w:hash="a2KjPWlfFj11SbHbaySPN75waE88PBK4+R6XkRsfcAyUnMgYMNgsK+nz1Oz3VrwUsjZW7aa6EjVCHJcpKKSoZw==" w:salt="85m/zUXGask2V+TnKfZZG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C1"/>
    <w:rsid w:val="00002E42"/>
    <w:rsid w:val="00003E6A"/>
    <w:rsid w:val="000055F9"/>
    <w:rsid w:val="00015CE3"/>
    <w:rsid w:val="0001761F"/>
    <w:rsid w:val="00044AAE"/>
    <w:rsid w:val="00045695"/>
    <w:rsid w:val="00053761"/>
    <w:rsid w:val="000551BC"/>
    <w:rsid w:val="0005752C"/>
    <w:rsid w:val="00063C90"/>
    <w:rsid w:val="00072522"/>
    <w:rsid w:val="0007493E"/>
    <w:rsid w:val="00075925"/>
    <w:rsid w:val="00075BE5"/>
    <w:rsid w:val="000803D8"/>
    <w:rsid w:val="00094979"/>
    <w:rsid w:val="00095824"/>
    <w:rsid w:val="000A17C9"/>
    <w:rsid w:val="000A30A5"/>
    <w:rsid w:val="000A5129"/>
    <w:rsid w:val="000A7466"/>
    <w:rsid w:val="000A7911"/>
    <w:rsid w:val="000B27D2"/>
    <w:rsid w:val="000C10E6"/>
    <w:rsid w:val="000C2406"/>
    <w:rsid w:val="000C5E61"/>
    <w:rsid w:val="000C6077"/>
    <w:rsid w:val="000C7A5D"/>
    <w:rsid w:val="000D0A49"/>
    <w:rsid w:val="000D41D1"/>
    <w:rsid w:val="000D6FBF"/>
    <w:rsid w:val="000E0448"/>
    <w:rsid w:val="000E11A5"/>
    <w:rsid w:val="000E3997"/>
    <w:rsid w:val="000F1D71"/>
    <w:rsid w:val="000F1E10"/>
    <w:rsid w:val="000F4B7A"/>
    <w:rsid w:val="000F5BDD"/>
    <w:rsid w:val="00100CC5"/>
    <w:rsid w:val="00104E6F"/>
    <w:rsid w:val="0010713D"/>
    <w:rsid w:val="0011209A"/>
    <w:rsid w:val="00113AF0"/>
    <w:rsid w:val="00117814"/>
    <w:rsid w:val="00123598"/>
    <w:rsid w:val="00123B21"/>
    <w:rsid w:val="00141DBA"/>
    <w:rsid w:val="001420C4"/>
    <w:rsid w:val="001424D0"/>
    <w:rsid w:val="00142CDB"/>
    <w:rsid w:val="00142EFD"/>
    <w:rsid w:val="00150FDE"/>
    <w:rsid w:val="00161DA3"/>
    <w:rsid w:val="001815A5"/>
    <w:rsid w:val="00182811"/>
    <w:rsid w:val="001831C8"/>
    <w:rsid w:val="0019167D"/>
    <w:rsid w:val="00197589"/>
    <w:rsid w:val="001A3BD7"/>
    <w:rsid w:val="001A53CD"/>
    <w:rsid w:val="001B2905"/>
    <w:rsid w:val="001B5CC7"/>
    <w:rsid w:val="001C5761"/>
    <w:rsid w:val="001D3F24"/>
    <w:rsid w:val="001E1CC8"/>
    <w:rsid w:val="001E3778"/>
    <w:rsid w:val="001E5008"/>
    <w:rsid w:val="001E79A7"/>
    <w:rsid w:val="001F5DE6"/>
    <w:rsid w:val="0020038A"/>
    <w:rsid w:val="00210291"/>
    <w:rsid w:val="00213A54"/>
    <w:rsid w:val="00215964"/>
    <w:rsid w:val="00223A3E"/>
    <w:rsid w:val="00232E49"/>
    <w:rsid w:val="00237247"/>
    <w:rsid w:val="00241D18"/>
    <w:rsid w:val="0024473D"/>
    <w:rsid w:val="00245E81"/>
    <w:rsid w:val="00252542"/>
    <w:rsid w:val="00254943"/>
    <w:rsid w:val="00263CBF"/>
    <w:rsid w:val="00266B20"/>
    <w:rsid w:val="00272542"/>
    <w:rsid w:val="00272E75"/>
    <w:rsid w:val="0027424D"/>
    <w:rsid w:val="002809A8"/>
    <w:rsid w:val="00290867"/>
    <w:rsid w:val="00294D8A"/>
    <w:rsid w:val="0029597F"/>
    <w:rsid w:val="00297CC6"/>
    <w:rsid w:val="002A1887"/>
    <w:rsid w:val="002B3368"/>
    <w:rsid w:val="002B4A3F"/>
    <w:rsid w:val="002C38EB"/>
    <w:rsid w:val="002C63EC"/>
    <w:rsid w:val="002C7D4D"/>
    <w:rsid w:val="002D667D"/>
    <w:rsid w:val="002E02F3"/>
    <w:rsid w:val="002E1516"/>
    <w:rsid w:val="002E6436"/>
    <w:rsid w:val="002E74F7"/>
    <w:rsid w:val="002F287A"/>
    <w:rsid w:val="002F482C"/>
    <w:rsid w:val="002F68FC"/>
    <w:rsid w:val="002F7DB2"/>
    <w:rsid w:val="00324CFC"/>
    <w:rsid w:val="00326A54"/>
    <w:rsid w:val="003430DD"/>
    <w:rsid w:val="00353DB0"/>
    <w:rsid w:val="00354F6A"/>
    <w:rsid w:val="00357407"/>
    <w:rsid w:val="00357FF4"/>
    <w:rsid w:val="003701A3"/>
    <w:rsid w:val="003A4A56"/>
    <w:rsid w:val="003A5796"/>
    <w:rsid w:val="003C10B2"/>
    <w:rsid w:val="003C507C"/>
    <w:rsid w:val="003D6F57"/>
    <w:rsid w:val="003D7EB6"/>
    <w:rsid w:val="003E0804"/>
    <w:rsid w:val="003E2662"/>
    <w:rsid w:val="003E3EB2"/>
    <w:rsid w:val="003F3CCB"/>
    <w:rsid w:val="004119A6"/>
    <w:rsid w:val="00412960"/>
    <w:rsid w:val="00413193"/>
    <w:rsid w:val="00420CAB"/>
    <w:rsid w:val="00421294"/>
    <w:rsid w:val="00422E61"/>
    <w:rsid w:val="00424CB5"/>
    <w:rsid w:val="00431027"/>
    <w:rsid w:val="004333EF"/>
    <w:rsid w:val="004357D7"/>
    <w:rsid w:val="00435D60"/>
    <w:rsid w:val="00447A3C"/>
    <w:rsid w:val="00451C9F"/>
    <w:rsid w:val="004536E3"/>
    <w:rsid w:val="0045686E"/>
    <w:rsid w:val="00461617"/>
    <w:rsid w:val="00462C4C"/>
    <w:rsid w:val="00462E4D"/>
    <w:rsid w:val="00466722"/>
    <w:rsid w:val="00472FC8"/>
    <w:rsid w:val="00473719"/>
    <w:rsid w:val="00480313"/>
    <w:rsid w:val="00483F64"/>
    <w:rsid w:val="00485495"/>
    <w:rsid w:val="00490D3C"/>
    <w:rsid w:val="00494EF6"/>
    <w:rsid w:val="00497549"/>
    <w:rsid w:val="004A4DED"/>
    <w:rsid w:val="004A59E0"/>
    <w:rsid w:val="004B67C3"/>
    <w:rsid w:val="004C668C"/>
    <w:rsid w:val="004D5BF3"/>
    <w:rsid w:val="004D5F04"/>
    <w:rsid w:val="004D77DD"/>
    <w:rsid w:val="004E5EE0"/>
    <w:rsid w:val="004E6BB8"/>
    <w:rsid w:val="004E7249"/>
    <w:rsid w:val="004F22AA"/>
    <w:rsid w:val="004F4917"/>
    <w:rsid w:val="004F5523"/>
    <w:rsid w:val="005120DD"/>
    <w:rsid w:val="00516055"/>
    <w:rsid w:val="005248E6"/>
    <w:rsid w:val="00524FB1"/>
    <w:rsid w:val="005264D0"/>
    <w:rsid w:val="0053046D"/>
    <w:rsid w:val="00531A2E"/>
    <w:rsid w:val="005331D5"/>
    <w:rsid w:val="00541BF6"/>
    <w:rsid w:val="0055118D"/>
    <w:rsid w:val="00555162"/>
    <w:rsid w:val="00555597"/>
    <w:rsid w:val="00561326"/>
    <w:rsid w:val="00564E7A"/>
    <w:rsid w:val="00576426"/>
    <w:rsid w:val="00577828"/>
    <w:rsid w:val="0058243F"/>
    <w:rsid w:val="005835A0"/>
    <w:rsid w:val="00586CD8"/>
    <w:rsid w:val="005876FC"/>
    <w:rsid w:val="00587BAE"/>
    <w:rsid w:val="0059047A"/>
    <w:rsid w:val="00590DC5"/>
    <w:rsid w:val="00590E07"/>
    <w:rsid w:val="00596B38"/>
    <w:rsid w:val="005974F5"/>
    <w:rsid w:val="005A1E68"/>
    <w:rsid w:val="005C64EA"/>
    <w:rsid w:val="005C7668"/>
    <w:rsid w:val="005D7EC3"/>
    <w:rsid w:val="005F5E26"/>
    <w:rsid w:val="00603B6E"/>
    <w:rsid w:val="0060743E"/>
    <w:rsid w:val="00611556"/>
    <w:rsid w:val="00617C79"/>
    <w:rsid w:val="00620152"/>
    <w:rsid w:val="00620294"/>
    <w:rsid w:val="00624108"/>
    <w:rsid w:val="0062695E"/>
    <w:rsid w:val="00636F05"/>
    <w:rsid w:val="00637C1D"/>
    <w:rsid w:val="006411FE"/>
    <w:rsid w:val="00655CAA"/>
    <w:rsid w:val="00660209"/>
    <w:rsid w:val="0066458E"/>
    <w:rsid w:val="00665515"/>
    <w:rsid w:val="0067266E"/>
    <w:rsid w:val="0067702A"/>
    <w:rsid w:val="00677E53"/>
    <w:rsid w:val="00682774"/>
    <w:rsid w:val="00695DBA"/>
    <w:rsid w:val="006A4955"/>
    <w:rsid w:val="006A4D27"/>
    <w:rsid w:val="006A7F02"/>
    <w:rsid w:val="006B1EF6"/>
    <w:rsid w:val="006B29CC"/>
    <w:rsid w:val="006B30DB"/>
    <w:rsid w:val="006C099F"/>
    <w:rsid w:val="006C5DC2"/>
    <w:rsid w:val="006C7119"/>
    <w:rsid w:val="006D245F"/>
    <w:rsid w:val="006D654D"/>
    <w:rsid w:val="006E059A"/>
    <w:rsid w:val="006E15A8"/>
    <w:rsid w:val="006E2C64"/>
    <w:rsid w:val="006E5587"/>
    <w:rsid w:val="006F0764"/>
    <w:rsid w:val="006F25CD"/>
    <w:rsid w:val="006F33FA"/>
    <w:rsid w:val="00703252"/>
    <w:rsid w:val="007057C4"/>
    <w:rsid w:val="00706488"/>
    <w:rsid w:val="007066DB"/>
    <w:rsid w:val="0071681A"/>
    <w:rsid w:val="00723C90"/>
    <w:rsid w:val="00735FE0"/>
    <w:rsid w:val="00737879"/>
    <w:rsid w:val="00757B1E"/>
    <w:rsid w:val="007636EB"/>
    <w:rsid w:val="00772946"/>
    <w:rsid w:val="00782D10"/>
    <w:rsid w:val="007911C1"/>
    <w:rsid w:val="00792660"/>
    <w:rsid w:val="00793F12"/>
    <w:rsid w:val="00797887"/>
    <w:rsid w:val="007A0F36"/>
    <w:rsid w:val="007A6E97"/>
    <w:rsid w:val="007A77C2"/>
    <w:rsid w:val="007B6AF0"/>
    <w:rsid w:val="007C02F7"/>
    <w:rsid w:val="007C32B3"/>
    <w:rsid w:val="007D26FC"/>
    <w:rsid w:val="007E0D9D"/>
    <w:rsid w:val="007E1B21"/>
    <w:rsid w:val="007E3240"/>
    <w:rsid w:val="007E4D60"/>
    <w:rsid w:val="007E7533"/>
    <w:rsid w:val="007F5FD4"/>
    <w:rsid w:val="007F6CCA"/>
    <w:rsid w:val="00801C11"/>
    <w:rsid w:val="0080640D"/>
    <w:rsid w:val="00810C49"/>
    <w:rsid w:val="00814910"/>
    <w:rsid w:val="00832832"/>
    <w:rsid w:val="00834316"/>
    <w:rsid w:val="00835CCB"/>
    <w:rsid w:val="008366EE"/>
    <w:rsid w:val="00836C1B"/>
    <w:rsid w:val="008403D3"/>
    <w:rsid w:val="008448F9"/>
    <w:rsid w:val="00866DEB"/>
    <w:rsid w:val="008756E1"/>
    <w:rsid w:val="00876427"/>
    <w:rsid w:val="008858DE"/>
    <w:rsid w:val="0088666C"/>
    <w:rsid w:val="008906F6"/>
    <w:rsid w:val="0089146B"/>
    <w:rsid w:val="00891F35"/>
    <w:rsid w:val="0089291F"/>
    <w:rsid w:val="00895F5A"/>
    <w:rsid w:val="008966B1"/>
    <w:rsid w:val="008A072B"/>
    <w:rsid w:val="008A6C4B"/>
    <w:rsid w:val="008A751F"/>
    <w:rsid w:val="008B07EA"/>
    <w:rsid w:val="008B0D52"/>
    <w:rsid w:val="008B485B"/>
    <w:rsid w:val="008B67DB"/>
    <w:rsid w:val="008B68CB"/>
    <w:rsid w:val="008C015F"/>
    <w:rsid w:val="008C3792"/>
    <w:rsid w:val="008C48BA"/>
    <w:rsid w:val="008D1D1B"/>
    <w:rsid w:val="008D2A09"/>
    <w:rsid w:val="008E4170"/>
    <w:rsid w:val="008E52D5"/>
    <w:rsid w:val="008F4810"/>
    <w:rsid w:val="0090118C"/>
    <w:rsid w:val="009017E4"/>
    <w:rsid w:val="009058DF"/>
    <w:rsid w:val="009138F5"/>
    <w:rsid w:val="00916A68"/>
    <w:rsid w:val="00916C52"/>
    <w:rsid w:val="00940890"/>
    <w:rsid w:val="00940DBC"/>
    <w:rsid w:val="00944E8B"/>
    <w:rsid w:val="0094785D"/>
    <w:rsid w:val="00950E19"/>
    <w:rsid w:val="0095531C"/>
    <w:rsid w:val="00957486"/>
    <w:rsid w:val="00972BFE"/>
    <w:rsid w:val="009736FD"/>
    <w:rsid w:val="00974A12"/>
    <w:rsid w:val="00977541"/>
    <w:rsid w:val="00981A3B"/>
    <w:rsid w:val="00982078"/>
    <w:rsid w:val="009843A5"/>
    <w:rsid w:val="00986A49"/>
    <w:rsid w:val="009A1660"/>
    <w:rsid w:val="009A4DCE"/>
    <w:rsid w:val="009B6CC3"/>
    <w:rsid w:val="009B794F"/>
    <w:rsid w:val="009C70A2"/>
    <w:rsid w:val="009C7A19"/>
    <w:rsid w:val="009D32FE"/>
    <w:rsid w:val="009D3E8B"/>
    <w:rsid w:val="009E0F35"/>
    <w:rsid w:val="009E2457"/>
    <w:rsid w:val="009F1D40"/>
    <w:rsid w:val="009F240A"/>
    <w:rsid w:val="009F7A8F"/>
    <w:rsid w:val="00A07132"/>
    <w:rsid w:val="00A11F9F"/>
    <w:rsid w:val="00A22144"/>
    <w:rsid w:val="00A236C6"/>
    <w:rsid w:val="00A26B0E"/>
    <w:rsid w:val="00A27804"/>
    <w:rsid w:val="00A3703C"/>
    <w:rsid w:val="00A40A17"/>
    <w:rsid w:val="00A47EE1"/>
    <w:rsid w:val="00A62A6E"/>
    <w:rsid w:val="00A805E9"/>
    <w:rsid w:val="00A82203"/>
    <w:rsid w:val="00A90B32"/>
    <w:rsid w:val="00AA174E"/>
    <w:rsid w:val="00AA2EAE"/>
    <w:rsid w:val="00AB0383"/>
    <w:rsid w:val="00AB051F"/>
    <w:rsid w:val="00AB2175"/>
    <w:rsid w:val="00AD101A"/>
    <w:rsid w:val="00AD23B3"/>
    <w:rsid w:val="00AE11B0"/>
    <w:rsid w:val="00AE4EFE"/>
    <w:rsid w:val="00AF3AAA"/>
    <w:rsid w:val="00AF40F2"/>
    <w:rsid w:val="00AF67FC"/>
    <w:rsid w:val="00B029AC"/>
    <w:rsid w:val="00B03A82"/>
    <w:rsid w:val="00B04E9C"/>
    <w:rsid w:val="00B2317A"/>
    <w:rsid w:val="00B2652E"/>
    <w:rsid w:val="00B31AEB"/>
    <w:rsid w:val="00B353E9"/>
    <w:rsid w:val="00B426F9"/>
    <w:rsid w:val="00B429B7"/>
    <w:rsid w:val="00B548CF"/>
    <w:rsid w:val="00B64B7B"/>
    <w:rsid w:val="00B72BE2"/>
    <w:rsid w:val="00B74203"/>
    <w:rsid w:val="00B820A4"/>
    <w:rsid w:val="00B823EB"/>
    <w:rsid w:val="00B8534B"/>
    <w:rsid w:val="00B91D4D"/>
    <w:rsid w:val="00BA128F"/>
    <w:rsid w:val="00BB4A1C"/>
    <w:rsid w:val="00BC10D0"/>
    <w:rsid w:val="00BC3D66"/>
    <w:rsid w:val="00BC4C40"/>
    <w:rsid w:val="00BC6C1B"/>
    <w:rsid w:val="00BC6E49"/>
    <w:rsid w:val="00BD5E08"/>
    <w:rsid w:val="00BD6B33"/>
    <w:rsid w:val="00BE3A1D"/>
    <w:rsid w:val="00BE655F"/>
    <w:rsid w:val="00C0253B"/>
    <w:rsid w:val="00C06F31"/>
    <w:rsid w:val="00C07D77"/>
    <w:rsid w:val="00C25FA4"/>
    <w:rsid w:val="00C30BC8"/>
    <w:rsid w:val="00C376BA"/>
    <w:rsid w:val="00C45235"/>
    <w:rsid w:val="00C61071"/>
    <w:rsid w:val="00C65471"/>
    <w:rsid w:val="00C6549E"/>
    <w:rsid w:val="00C76C34"/>
    <w:rsid w:val="00C85E03"/>
    <w:rsid w:val="00C933B6"/>
    <w:rsid w:val="00CA0487"/>
    <w:rsid w:val="00CA41C1"/>
    <w:rsid w:val="00CA5DC4"/>
    <w:rsid w:val="00CB1BB1"/>
    <w:rsid w:val="00CB679A"/>
    <w:rsid w:val="00CB6F15"/>
    <w:rsid w:val="00CC2910"/>
    <w:rsid w:val="00CC6D8C"/>
    <w:rsid w:val="00CD1FB8"/>
    <w:rsid w:val="00CD31E0"/>
    <w:rsid w:val="00D01B48"/>
    <w:rsid w:val="00D049D7"/>
    <w:rsid w:val="00D04FFF"/>
    <w:rsid w:val="00D13650"/>
    <w:rsid w:val="00D13FDF"/>
    <w:rsid w:val="00D20407"/>
    <w:rsid w:val="00D21B01"/>
    <w:rsid w:val="00D226BD"/>
    <w:rsid w:val="00D24CED"/>
    <w:rsid w:val="00D40C4E"/>
    <w:rsid w:val="00D42844"/>
    <w:rsid w:val="00D4296B"/>
    <w:rsid w:val="00D45EA2"/>
    <w:rsid w:val="00D46579"/>
    <w:rsid w:val="00D50387"/>
    <w:rsid w:val="00D5182F"/>
    <w:rsid w:val="00D562D6"/>
    <w:rsid w:val="00D56E2C"/>
    <w:rsid w:val="00D63D75"/>
    <w:rsid w:val="00DA5963"/>
    <w:rsid w:val="00DB0316"/>
    <w:rsid w:val="00DB6B74"/>
    <w:rsid w:val="00DB71E1"/>
    <w:rsid w:val="00DB751A"/>
    <w:rsid w:val="00DC0B94"/>
    <w:rsid w:val="00DC0E21"/>
    <w:rsid w:val="00DC3770"/>
    <w:rsid w:val="00DD3B78"/>
    <w:rsid w:val="00DD3E4D"/>
    <w:rsid w:val="00DE106F"/>
    <w:rsid w:val="00DE1478"/>
    <w:rsid w:val="00DE2F18"/>
    <w:rsid w:val="00DF1883"/>
    <w:rsid w:val="00DF7066"/>
    <w:rsid w:val="00E00552"/>
    <w:rsid w:val="00E03B34"/>
    <w:rsid w:val="00E14234"/>
    <w:rsid w:val="00E220A0"/>
    <w:rsid w:val="00E369A3"/>
    <w:rsid w:val="00E37685"/>
    <w:rsid w:val="00E4170D"/>
    <w:rsid w:val="00E458D7"/>
    <w:rsid w:val="00E464FD"/>
    <w:rsid w:val="00E5293E"/>
    <w:rsid w:val="00E5308A"/>
    <w:rsid w:val="00E53351"/>
    <w:rsid w:val="00E5769F"/>
    <w:rsid w:val="00E57718"/>
    <w:rsid w:val="00E60360"/>
    <w:rsid w:val="00E6697E"/>
    <w:rsid w:val="00E715B4"/>
    <w:rsid w:val="00E740E2"/>
    <w:rsid w:val="00E76AAF"/>
    <w:rsid w:val="00E77ADA"/>
    <w:rsid w:val="00EA4D4E"/>
    <w:rsid w:val="00EB4A3D"/>
    <w:rsid w:val="00EB53DD"/>
    <w:rsid w:val="00EC4DB7"/>
    <w:rsid w:val="00ED562F"/>
    <w:rsid w:val="00EE4FC1"/>
    <w:rsid w:val="00EF109B"/>
    <w:rsid w:val="00EF3660"/>
    <w:rsid w:val="00EF4E73"/>
    <w:rsid w:val="00F05712"/>
    <w:rsid w:val="00F114FE"/>
    <w:rsid w:val="00F13207"/>
    <w:rsid w:val="00F13A0C"/>
    <w:rsid w:val="00F37B94"/>
    <w:rsid w:val="00F43849"/>
    <w:rsid w:val="00F45BE9"/>
    <w:rsid w:val="00F45CEE"/>
    <w:rsid w:val="00F523C8"/>
    <w:rsid w:val="00F70AC0"/>
    <w:rsid w:val="00F74607"/>
    <w:rsid w:val="00F80491"/>
    <w:rsid w:val="00F83C2C"/>
    <w:rsid w:val="00F85ED3"/>
    <w:rsid w:val="00F871C5"/>
    <w:rsid w:val="00F93F74"/>
    <w:rsid w:val="00F961C1"/>
    <w:rsid w:val="00F96E3C"/>
    <w:rsid w:val="00FA0AF4"/>
    <w:rsid w:val="00FB3204"/>
    <w:rsid w:val="00FD22DA"/>
    <w:rsid w:val="00FE1B92"/>
    <w:rsid w:val="00FE247F"/>
    <w:rsid w:val="00FE39F4"/>
    <w:rsid w:val="00FF5545"/>
    <w:rsid w:val="00FF6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E4FB4A"/>
  <w15:chartTrackingRefBased/>
  <w15:docId w15:val="{44B2699F-98CA-4364-8CFE-F8411A52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C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1C1"/>
    <w:pPr>
      <w:spacing w:after="0" w:line="240" w:lineRule="auto"/>
    </w:pPr>
  </w:style>
  <w:style w:type="character" w:styleId="Hyperlink">
    <w:name w:val="Hyperlink"/>
    <w:basedOn w:val="DefaultParagraphFont"/>
    <w:uiPriority w:val="99"/>
    <w:unhideWhenUsed/>
    <w:rsid w:val="007911C1"/>
    <w:rPr>
      <w:color w:val="0563C1" w:themeColor="hyperlink"/>
      <w:u w:val="single"/>
    </w:rPr>
  </w:style>
  <w:style w:type="paragraph" w:styleId="Header">
    <w:name w:val="header"/>
    <w:basedOn w:val="Normal"/>
    <w:link w:val="HeaderChar"/>
    <w:uiPriority w:val="99"/>
    <w:unhideWhenUsed/>
    <w:rsid w:val="00B7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BE2"/>
  </w:style>
  <w:style w:type="paragraph" w:styleId="Footer">
    <w:name w:val="footer"/>
    <w:basedOn w:val="Normal"/>
    <w:link w:val="FooterChar"/>
    <w:uiPriority w:val="99"/>
    <w:unhideWhenUsed/>
    <w:rsid w:val="00B7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BE2"/>
  </w:style>
  <w:style w:type="paragraph" w:styleId="BalloonText">
    <w:name w:val="Balloon Text"/>
    <w:basedOn w:val="Normal"/>
    <w:link w:val="BalloonTextChar"/>
    <w:uiPriority w:val="99"/>
    <w:semiHidden/>
    <w:unhideWhenUsed/>
    <w:rsid w:val="00A37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03C"/>
    <w:rPr>
      <w:rFonts w:ascii="Segoe UI" w:hAnsi="Segoe UI" w:cs="Segoe UI"/>
      <w:sz w:val="18"/>
      <w:szCs w:val="18"/>
    </w:rPr>
  </w:style>
  <w:style w:type="character" w:styleId="CommentReference">
    <w:name w:val="annotation reference"/>
    <w:basedOn w:val="DefaultParagraphFont"/>
    <w:uiPriority w:val="99"/>
    <w:semiHidden/>
    <w:unhideWhenUsed/>
    <w:rsid w:val="00A3703C"/>
    <w:rPr>
      <w:sz w:val="16"/>
      <w:szCs w:val="16"/>
    </w:rPr>
  </w:style>
  <w:style w:type="paragraph" w:styleId="CommentText">
    <w:name w:val="annotation text"/>
    <w:basedOn w:val="Normal"/>
    <w:link w:val="CommentTextChar"/>
    <w:uiPriority w:val="99"/>
    <w:semiHidden/>
    <w:unhideWhenUsed/>
    <w:rsid w:val="00A3703C"/>
    <w:pPr>
      <w:spacing w:line="240" w:lineRule="auto"/>
    </w:pPr>
    <w:rPr>
      <w:sz w:val="20"/>
      <w:szCs w:val="20"/>
    </w:rPr>
  </w:style>
  <w:style w:type="character" w:customStyle="1" w:styleId="CommentTextChar">
    <w:name w:val="Comment Text Char"/>
    <w:basedOn w:val="DefaultParagraphFont"/>
    <w:link w:val="CommentText"/>
    <w:uiPriority w:val="99"/>
    <w:semiHidden/>
    <w:rsid w:val="00A3703C"/>
    <w:rPr>
      <w:sz w:val="20"/>
      <w:szCs w:val="20"/>
    </w:rPr>
  </w:style>
  <w:style w:type="paragraph" w:styleId="CommentSubject">
    <w:name w:val="annotation subject"/>
    <w:basedOn w:val="CommentText"/>
    <w:next w:val="CommentText"/>
    <w:link w:val="CommentSubjectChar"/>
    <w:uiPriority w:val="99"/>
    <w:semiHidden/>
    <w:unhideWhenUsed/>
    <w:rsid w:val="00A3703C"/>
    <w:rPr>
      <w:b/>
      <w:bCs/>
    </w:rPr>
  </w:style>
  <w:style w:type="character" w:customStyle="1" w:styleId="CommentSubjectChar">
    <w:name w:val="Comment Subject Char"/>
    <w:basedOn w:val="CommentTextChar"/>
    <w:link w:val="CommentSubject"/>
    <w:uiPriority w:val="99"/>
    <w:semiHidden/>
    <w:rsid w:val="00A3703C"/>
    <w:rPr>
      <w:b/>
      <w:bCs/>
      <w:sz w:val="20"/>
      <w:szCs w:val="20"/>
    </w:rPr>
  </w:style>
  <w:style w:type="character" w:customStyle="1" w:styleId="Heading1Char">
    <w:name w:val="Heading 1 Char"/>
    <w:basedOn w:val="DefaultParagraphFont"/>
    <w:link w:val="Heading1"/>
    <w:uiPriority w:val="9"/>
    <w:rsid w:val="008A6C4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A6C4B"/>
    <w:pPr>
      <w:outlineLvl w:val="9"/>
    </w:pPr>
  </w:style>
  <w:style w:type="paragraph" w:styleId="TOC2">
    <w:name w:val="toc 2"/>
    <w:basedOn w:val="Normal"/>
    <w:next w:val="Normal"/>
    <w:autoRedefine/>
    <w:uiPriority w:val="39"/>
    <w:unhideWhenUsed/>
    <w:rsid w:val="002E02F3"/>
    <w:pPr>
      <w:tabs>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8A6C4B"/>
    <w:pPr>
      <w:spacing w:after="100"/>
    </w:pPr>
    <w:rPr>
      <w:rFonts w:eastAsiaTheme="minorEastAsia" w:cs="Times New Roman"/>
    </w:rPr>
  </w:style>
  <w:style w:type="paragraph" w:styleId="TOC3">
    <w:name w:val="toc 3"/>
    <w:basedOn w:val="Normal"/>
    <w:next w:val="Normal"/>
    <w:autoRedefine/>
    <w:uiPriority w:val="39"/>
    <w:unhideWhenUsed/>
    <w:rsid w:val="008A6C4B"/>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8A6C4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8906F6"/>
    <w:pPr>
      <w:spacing w:after="0" w:line="240" w:lineRule="auto"/>
    </w:pPr>
  </w:style>
  <w:style w:type="paragraph" w:customStyle="1" w:styleId="Header1">
    <w:name w:val="Header 1"/>
    <w:basedOn w:val="Title"/>
    <w:rsid w:val="00BD6B33"/>
    <w:pPr>
      <w:spacing w:before="240"/>
      <w:ind w:right="100"/>
      <w:contextualSpacing w:val="0"/>
    </w:pPr>
    <w:rPr>
      <w:rFonts w:ascii="Arial" w:eastAsia="Times New Roman" w:hAnsi="Arial" w:cs="Times New Roman"/>
      <w:b/>
      <w:color w:val="000000"/>
      <w:spacing w:val="0"/>
      <w:kern w:val="0"/>
      <w:sz w:val="24"/>
      <w:szCs w:val="20"/>
    </w:rPr>
  </w:style>
  <w:style w:type="paragraph" w:customStyle="1" w:styleId="Tabletext">
    <w:name w:val="Table text"/>
    <w:basedOn w:val="Normal"/>
    <w:rsid w:val="00BD6B33"/>
    <w:pPr>
      <w:spacing w:after="40" w:line="240" w:lineRule="auto"/>
    </w:pPr>
    <w:rPr>
      <w:rFonts w:ascii="Times New Roman" w:eastAsia="Times New Roman" w:hAnsi="Times New Roman" w:cs="Times New Roman"/>
      <w:color w:val="000000"/>
      <w:sz w:val="24"/>
      <w:szCs w:val="20"/>
    </w:rPr>
  </w:style>
  <w:style w:type="paragraph" w:styleId="Title">
    <w:name w:val="Title"/>
    <w:basedOn w:val="Normal"/>
    <w:next w:val="Normal"/>
    <w:link w:val="TitleChar"/>
    <w:uiPriority w:val="10"/>
    <w:qFormat/>
    <w:rsid w:val="00BD6B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B3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CDFEC-93E3-4E95-8411-8A4C5155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1188</Words>
  <Characters>6772</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Suzanne@HAYESBOLT.local</dc:creator>
  <cp:keywords/>
  <dc:description/>
  <cp:lastModifiedBy>Susie Nuanez</cp:lastModifiedBy>
  <cp:revision>4</cp:revision>
  <cp:lastPrinted>2024-03-08T19:10:00Z</cp:lastPrinted>
  <dcterms:created xsi:type="dcterms:W3CDTF">2025-10-31T15:43:00Z</dcterms:created>
  <dcterms:modified xsi:type="dcterms:W3CDTF">2025-10-31T15:44:00Z</dcterms:modified>
</cp:coreProperties>
</file>